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C7E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CF49AED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D633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664A816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EE0A0DB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9B4D5C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38620F3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8755BAB" w14:textId="63352402" w:rsidR="00C97A03" w:rsidRP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C97A03">
        <w:rPr>
          <w:rFonts w:ascii="Aptos Display" w:eastAsia="Gill Sans MT" w:hAnsi="Aptos Display" w:cs="Gill Sans MT"/>
          <w:sz w:val="40"/>
          <w:szCs w:val="40"/>
        </w:rPr>
        <w:t>D-</w:t>
      </w:r>
      <w:r w:rsidR="005D5B52">
        <w:rPr>
          <w:rFonts w:ascii="Aptos Display" w:eastAsia="Gill Sans MT" w:hAnsi="Aptos Display" w:cs="Gill Sans MT"/>
          <w:sz w:val="40"/>
          <w:szCs w:val="40"/>
        </w:rPr>
        <w:t>0</w:t>
      </w:r>
      <w:r w:rsidR="00C71CA9">
        <w:rPr>
          <w:rFonts w:ascii="Aptos Display" w:eastAsia="Gill Sans MT" w:hAnsi="Aptos Display" w:cs="Gill Sans MT"/>
          <w:sz w:val="40"/>
          <w:szCs w:val="40"/>
        </w:rPr>
        <w:t>5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C71CA9">
        <w:rPr>
          <w:rFonts w:ascii="Aptos Display" w:eastAsia="Gill Sans MT" w:hAnsi="Aptos Display" w:cs="Gill Sans MT"/>
          <w:sz w:val="40"/>
          <w:szCs w:val="40"/>
        </w:rPr>
        <w:t>1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C71CA9">
        <w:rPr>
          <w:rFonts w:ascii="Aptos Display" w:eastAsia="Gill Sans MT" w:hAnsi="Aptos Display" w:cs="Gill Sans MT"/>
          <w:sz w:val="40"/>
          <w:szCs w:val="40"/>
        </w:rPr>
        <w:t>0</w:t>
      </w:r>
    </w:p>
    <w:p w14:paraId="294A8255" w14:textId="74D89710" w:rsidR="00C97A03" w:rsidRDefault="00C71CA9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Nawierzchnie gruntowe. Wymagania ogólne</w:t>
      </w:r>
    </w:p>
    <w:p w14:paraId="24EE1DB5" w14:textId="3D535698" w:rsidR="00C97A03" w:rsidRPr="005D5B52" w:rsidRDefault="00C97A03" w:rsidP="005D5B52">
      <w:pPr>
        <w:pStyle w:val="Standard"/>
        <w:tabs>
          <w:tab w:val="left" w:pos="567"/>
        </w:tabs>
        <w:jc w:val="both"/>
        <w:rPr>
          <w:rFonts w:ascii="Aptos Display" w:hAnsi="Aptos Display"/>
          <w:sz w:val="18"/>
          <w:szCs w:val="18"/>
        </w:rPr>
      </w:pPr>
    </w:p>
    <w:p w14:paraId="45F40337" w14:textId="46D5AF06" w:rsidR="00E04FCC" w:rsidRPr="00E04FCC" w:rsidRDefault="00C71CA9" w:rsidP="00C71CA9">
      <w:pPr>
        <w:pStyle w:val="Standard"/>
        <w:pageBreakBefore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>
        <w:rPr>
          <w:rFonts w:ascii="Aptos Display" w:hAnsi="Aptos Display"/>
          <w:sz w:val="18"/>
          <w:szCs w:val="18"/>
        </w:rPr>
        <w:lastRenderedPageBreak/>
        <w:t xml:space="preserve">1. </w:t>
      </w:r>
      <w:r w:rsidR="00E04FCC" w:rsidRPr="00E04FCC">
        <w:rPr>
          <w:rFonts w:ascii="Aptos Display" w:hAnsi="Aptos Display"/>
          <w:sz w:val="18"/>
          <w:szCs w:val="18"/>
        </w:rPr>
        <w:t>WSTĘP</w:t>
      </w:r>
    </w:p>
    <w:p w14:paraId="3D2C3A0F" w14:textId="351F24EB" w:rsidR="00E04FCC" w:rsidRPr="00C71CA9" w:rsidRDefault="00E04FCC" w:rsidP="00C71CA9">
      <w:pPr>
        <w:pStyle w:val="Standard"/>
        <w:numPr>
          <w:ilvl w:val="1"/>
          <w:numId w:val="2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i/>
          <w:iCs/>
          <w:sz w:val="18"/>
          <w:szCs w:val="18"/>
        </w:rPr>
      </w:pPr>
      <w:r w:rsidRPr="00C71CA9">
        <w:rPr>
          <w:rFonts w:ascii="Aptos Display" w:hAnsi="Aptos Display"/>
          <w:i/>
          <w:iCs/>
          <w:sz w:val="18"/>
          <w:szCs w:val="18"/>
        </w:rPr>
        <w:t>Przedmiot SST</w:t>
      </w:r>
    </w:p>
    <w:p w14:paraId="29B57F64" w14:textId="0D6B5F9A" w:rsidR="00E04FCC" w:rsidRDefault="00C71CA9" w:rsidP="00E04FCC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C71CA9">
        <w:rPr>
          <w:rFonts w:ascii="Aptos Display" w:hAnsi="Aptos Display"/>
          <w:sz w:val="18"/>
          <w:szCs w:val="18"/>
        </w:rPr>
        <w:t>Przedmiotem niniejszej szczegółowej specyfikacji technicznej (SST) są wymagania dotyczące wykonania i odbioru robót związanych z wykonywaniem nawierzchni gruntowych</w:t>
      </w:r>
      <w:r w:rsidR="00E04FCC">
        <w:rPr>
          <w:rFonts w:ascii="Aptos Display" w:hAnsi="Aptos Display"/>
          <w:sz w:val="18"/>
          <w:szCs w:val="18"/>
        </w:rPr>
        <w:t>, które zostaną wykonane w ramach zadania pn.:</w:t>
      </w:r>
    </w:p>
    <w:p w14:paraId="3F35BA2E" w14:textId="77777777" w:rsidR="007F1B07" w:rsidRDefault="007F1B07" w:rsidP="007F1B07">
      <w:pPr>
        <w:pStyle w:val="Standard"/>
        <w:shd w:val="clear" w:color="auto" w:fill="DEEAF6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64BC2C8F" w14:textId="32E4EAA2" w:rsidR="00E04FCC" w:rsidRPr="00E04FCC" w:rsidRDefault="00E04FCC" w:rsidP="00E04FCC">
      <w:pPr>
        <w:pStyle w:val="Standard"/>
        <w:shd w:val="clear" w:color="auto" w:fill="D9E2F3" w:themeFill="accent1" w:themeFillTint="33"/>
        <w:tabs>
          <w:tab w:val="left" w:pos="567"/>
          <w:tab w:val="right" w:leader="dot" w:pos="7937"/>
        </w:tabs>
        <w:jc w:val="center"/>
        <w:rPr>
          <w:rFonts w:ascii="Aptos Display" w:hAnsi="Aptos Display"/>
          <w:sz w:val="18"/>
          <w:szCs w:val="18"/>
        </w:rPr>
      </w:pPr>
    </w:p>
    <w:p w14:paraId="2206655C" w14:textId="5BE28CB3" w:rsidR="00E04FCC" w:rsidRPr="00C71CA9" w:rsidRDefault="00E04FCC" w:rsidP="00C71CA9">
      <w:pPr>
        <w:pStyle w:val="Standard"/>
        <w:numPr>
          <w:ilvl w:val="1"/>
          <w:numId w:val="2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i/>
          <w:iCs/>
          <w:sz w:val="18"/>
          <w:szCs w:val="18"/>
        </w:rPr>
      </w:pPr>
      <w:r w:rsidRPr="00C71CA9">
        <w:rPr>
          <w:rFonts w:ascii="Aptos Display" w:hAnsi="Aptos Display"/>
          <w:i/>
          <w:iCs/>
          <w:sz w:val="18"/>
          <w:szCs w:val="18"/>
        </w:rPr>
        <w:t>Zakres stosowania SST</w:t>
      </w:r>
    </w:p>
    <w:p w14:paraId="7E5F2324" w14:textId="77777777" w:rsidR="00C71CA9" w:rsidRPr="00C71CA9" w:rsidRDefault="00C71CA9" w:rsidP="00C71CA9">
      <w:pPr>
        <w:spacing w:line="120" w:lineRule="atLeast"/>
        <w:ind w:left="54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 xml:space="preserve">Szczegółowa specyfikacja techniczna jest stosowana jako dokument przetargowy i kontraktowy przy zlecaniu i realizacji robót wymienionych w punkcie 1.1. </w:t>
      </w:r>
    </w:p>
    <w:p w14:paraId="22D42A85" w14:textId="77777777" w:rsidR="00C71CA9" w:rsidRPr="00C71CA9" w:rsidRDefault="00C71CA9" w:rsidP="00C71CA9">
      <w:pPr>
        <w:pStyle w:val="Standardowytekst"/>
        <w:rPr>
          <w:rFonts w:ascii="Aptos Display" w:hAnsi="Aptos Display" w:cs="Tahoma"/>
          <w:bCs/>
          <w:sz w:val="18"/>
          <w:szCs w:val="18"/>
        </w:rPr>
      </w:pPr>
    </w:p>
    <w:p w14:paraId="406FEF55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1.3. Zakres robót objętych SST</w:t>
      </w:r>
    </w:p>
    <w:p w14:paraId="213D6081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Ustalenia zawarte w niniejszej specyfikacji dotyczą zasad prowadzenia robót związanych z wykonywaniem nawierzchni gruntowych i obejmują:</w:t>
      </w:r>
    </w:p>
    <w:p w14:paraId="4AABF96C" w14:textId="77777777" w:rsidR="00C71CA9" w:rsidRPr="00C71CA9" w:rsidRDefault="00C71CA9" w:rsidP="00C71CA9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D-05.01.01 Nawierzchnia gruntowa naturalna</w:t>
      </w:r>
    </w:p>
    <w:p w14:paraId="428C85CB" w14:textId="77777777" w:rsidR="00C71CA9" w:rsidRPr="00C71CA9" w:rsidRDefault="00C71CA9" w:rsidP="00C71CA9">
      <w:pPr>
        <w:ind w:firstLine="283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Nawierzchnie gruntowe mogą być wykonywane w przypadkach, gdy konieczne jest połączenie komunikacyjne, a względy ekonomiczne lub inne (np. ochrona środowiska) nie pozwalają na budowę drogi o nawierzchni twardej.</w:t>
      </w:r>
    </w:p>
    <w:p w14:paraId="23F58341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Nawierzchnie gruntowe mogą być traktowane jako pierwszy etap budowy drogi, która będzie ulepszana w miarę potrzeb i możliwości finansowych.</w:t>
      </w:r>
    </w:p>
    <w:p w14:paraId="1CB92B88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1.4. Określenia podstawowe</w:t>
      </w:r>
    </w:p>
    <w:p w14:paraId="06C7CEDC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1.4.1. Nawierzchnia gruntowa naturalna - określenie w rozumieniu niniejszej SST jest równoznaczne z pojęciem „nawierzchnia gruntowa profilowana” według niżej podanej definicji:</w:t>
      </w:r>
    </w:p>
    <w:p w14:paraId="3A578837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Nawierzchnia gruntowa profilowana - wydzielony pas terenu, przeznaczony do ruchu lub postoju pojazdów oraz ruchu pieszych, w którym występujący grunt podłoża jest wyrównany i odpowiednio ukształtowany w profilu podłużnym i przekroju poprzecznym oraz zagęszczony.</w:t>
      </w:r>
    </w:p>
    <w:p w14:paraId="4B118BF5" w14:textId="77777777" w:rsidR="00C71CA9" w:rsidRPr="00C71CA9" w:rsidRDefault="00C71CA9" w:rsidP="00C71CA9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1.4.2. Nawierzchnia gruntowa ulepszona - wydzielony pas terenu, przeznaczony do ruchu lub postoju pojazdów oraz ruchu pieszych, w którym występujący grunt podłoża jest ulepszony mechanicznie lub chemicznie, wyrównany i odpowiednio ukształtowany w profilu podłużnym i przekroju poprzecznym oraz zagęszczony.</w:t>
      </w:r>
    </w:p>
    <w:p w14:paraId="7B331802" w14:textId="77777777" w:rsidR="00C71CA9" w:rsidRPr="00C71CA9" w:rsidRDefault="00C71CA9" w:rsidP="00C71CA9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1.4.3. Pozostałe określenia podstawowe są zgodne z obowiązującymi polskimi normami i definicjami podanymi w SST D-M-00.00.00 „Wymagania ogólne” pkt 1.4.</w:t>
      </w:r>
    </w:p>
    <w:p w14:paraId="722CF50B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bookmarkStart w:id="0" w:name="_Toc405615035"/>
      <w:bookmarkStart w:id="1" w:name="_Toc407161183"/>
      <w:r w:rsidRPr="00C71CA9">
        <w:rPr>
          <w:rFonts w:ascii="Aptos Display" w:hAnsi="Aptos Display" w:cs="Tahoma"/>
          <w:b w:val="0"/>
          <w:sz w:val="18"/>
          <w:szCs w:val="18"/>
        </w:rPr>
        <w:t>1.5. Ogólne wymagania dotyczące robót</w:t>
      </w:r>
      <w:bookmarkEnd w:id="0"/>
      <w:bookmarkEnd w:id="1"/>
    </w:p>
    <w:p w14:paraId="41C18BA0" w14:textId="77777777" w:rsidR="00C71CA9" w:rsidRPr="00C71CA9" w:rsidRDefault="00C71CA9" w:rsidP="00C71CA9">
      <w:pPr>
        <w:pStyle w:val="Standardowytekst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Ogólne wymagania dotyczące robót podano w SST D-M-00.00.00 „Wymagania ogólne” pkt 1.5.</w:t>
      </w:r>
    </w:p>
    <w:p w14:paraId="391650DE" w14:textId="77777777" w:rsidR="00C71CA9" w:rsidRPr="00C71CA9" w:rsidRDefault="00C71CA9" w:rsidP="00C71CA9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2" w:name="_Toc426175608"/>
      <w:bookmarkStart w:id="3" w:name="_Toc405615036"/>
      <w:bookmarkStart w:id="4" w:name="_Toc407161184"/>
      <w:bookmarkStart w:id="5" w:name="_Toc418996323"/>
      <w:bookmarkStart w:id="6" w:name="_Toc418996692"/>
      <w:bookmarkStart w:id="7" w:name="_Toc418997079"/>
      <w:bookmarkStart w:id="8" w:name="_Toc418998489"/>
      <w:bookmarkStart w:id="9" w:name="_Toc418998845"/>
      <w:bookmarkStart w:id="10" w:name="_Toc419000090"/>
      <w:r w:rsidRPr="00C71CA9">
        <w:rPr>
          <w:rFonts w:ascii="Aptos Display" w:hAnsi="Aptos Display" w:cs="Tahoma"/>
          <w:b w:val="0"/>
          <w:sz w:val="18"/>
          <w:szCs w:val="18"/>
        </w:rPr>
        <w:t>2. materiały</w:t>
      </w:r>
      <w:bookmarkEnd w:id="2"/>
      <w:r w:rsidRPr="00C71CA9">
        <w:rPr>
          <w:rFonts w:ascii="Aptos Display" w:hAnsi="Aptos Display" w:cs="Tahoma"/>
          <w:b w:val="0"/>
          <w:sz w:val="18"/>
          <w:szCs w:val="18"/>
        </w:rPr>
        <w:t xml:space="preserve">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292306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bookmarkStart w:id="11" w:name="_Toc405615037"/>
      <w:bookmarkStart w:id="12" w:name="_Toc407161185"/>
      <w:r w:rsidRPr="00C71CA9">
        <w:rPr>
          <w:rFonts w:ascii="Aptos Display" w:hAnsi="Aptos Display" w:cs="Tahoma"/>
          <w:b w:val="0"/>
          <w:sz w:val="18"/>
          <w:szCs w:val="18"/>
        </w:rPr>
        <w:t>2.1. Ogólne wymagania dotyczące materiałów</w:t>
      </w:r>
      <w:bookmarkEnd w:id="11"/>
      <w:bookmarkEnd w:id="12"/>
    </w:p>
    <w:p w14:paraId="4D3176DE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Ogólne wymagania dotyczące materiałów, ich pozyskiwania i składowania, podano w SST D-M-00.00.00 „Wymagania ogólne” pkt 2.</w:t>
      </w:r>
    </w:p>
    <w:p w14:paraId="7DAA0CBE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2.2. Grunt</w:t>
      </w:r>
    </w:p>
    <w:p w14:paraId="7FB7DD04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Grunt jest podstawowym materiałem do budowy nawierzchni gruntowych.</w:t>
      </w:r>
    </w:p>
    <w:p w14:paraId="4BA6D65E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Grunty należy klasyfikować zgodnie z normą PN-B-02480 [1].</w:t>
      </w:r>
    </w:p>
    <w:p w14:paraId="5A7AADFC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Przy budowie nawierzchni gruntowej należy kierować się zasadą wykorzystania w maksymalnym stopniu gruntu zalegającego w podłożu.</w:t>
      </w:r>
    </w:p>
    <w:p w14:paraId="2F719495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Rozpoznanie gruntu należy przeprowadzić na podstawie badań makroskopowych określonych w normie PN-B-04452 [2]; badania uziarnienia według normy PN-B-04481 [3] lub PN-B-06714-15 [5].</w:t>
      </w:r>
    </w:p>
    <w:p w14:paraId="335DF185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Podział gruntów pod względem wysadzinowości podaje tablica 1.</w:t>
      </w:r>
    </w:p>
    <w:p w14:paraId="3607498B" w14:textId="77777777" w:rsidR="00C71CA9" w:rsidRPr="00C71CA9" w:rsidRDefault="00C71CA9" w:rsidP="00C71CA9">
      <w:pPr>
        <w:spacing w:before="120"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Tablica 1. Podział gruntów pod względem wysadzinowości</w:t>
      </w: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1932"/>
        <w:gridCol w:w="1620"/>
        <w:gridCol w:w="1800"/>
      </w:tblGrid>
      <w:tr w:rsidR="00C71CA9" w:rsidRPr="00C71CA9" w14:paraId="25318629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14:paraId="509D253F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</w:tcBorders>
          </w:tcPr>
          <w:p w14:paraId="37AAD43A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</w:p>
        </w:tc>
        <w:tc>
          <w:tcPr>
            <w:tcW w:w="5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C95F4" w14:textId="77777777" w:rsidR="00C71CA9" w:rsidRPr="00C71CA9" w:rsidRDefault="00C71CA9" w:rsidP="00270379">
            <w:pPr>
              <w:spacing w:before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Wymagania</w:t>
            </w:r>
          </w:p>
        </w:tc>
      </w:tr>
      <w:tr w:rsidR="00C71CA9" w:rsidRPr="00C71CA9" w14:paraId="60C09CF8" w14:textId="77777777" w:rsidTr="00270379">
        <w:tc>
          <w:tcPr>
            <w:tcW w:w="496" w:type="dxa"/>
            <w:tcBorders>
              <w:left w:val="single" w:sz="6" w:space="0" w:color="auto"/>
              <w:bottom w:val="double" w:sz="6" w:space="0" w:color="auto"/>
            </w:tcBorders>
          </w:tcPr>
          <w:p w14:paraId="77F4A889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Lp.</w:t>
            </w:r>
          </w:p>
        </w:tc>
        <w:tc>
          <w:tcPr>
            <w:tcW w:w="3402" w:type="dxa"/>
            <w:tcBorders>
              <w:left w:val="single" w:sz="6" w:space="0" w:color="auto"/>
              <w:bottom w:val="double" w:sz="6" w:space="0" w:color="auto"/>
            </w:tcBorders>
          </w:tcPr>
          <w:p w14:paraId="7FF28135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Właściwości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553CEC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Grunty niewysadzinowe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B2FAFBC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Grunty</w:t>
            </w:r>
          </w:p>
          <w:p w14:paraId="7F758F2B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wątpliwe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C025696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Grunty wysadzinowe</w:t>
            </w:r>
          </w:p>
        </w:tc>
      </w:tr>
      <w:tr w:rsidR="00C71CA9" w:rsidRPr="00C71CA9" w14:paraId="79BECC42" w14:textId="77777777" w:rsidTr="00270379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2C62F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9EF15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Wskaźnik nośności według BN-70/8931-05 [17], %, (W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  <w:vertAlign w:val="subscript"/>
              </w:rPr>
              <w:t>noś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)</w:t>
            </w:r>
          </w:p>
        </w:tc>
        <w:tc>
          <w:tcPr>
            <w:tcW w:w="1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5FC0E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  <w:vertAlign w:val="subscript"/>
              </w:rPr>
              <w:t xml:space="preserve">noś 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sym w:font="Symbol" w:char="F03E"/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10</w:t>
            </w:r>
          </w:p>
        </w:tc>
        <w:tc>
          <w:tcPr>
            <w:tcW w:w="1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6FA4" w14:textId="77777777" w:rsidR="00C71CA9" w:rsidRPr="00C71CA9" w:rsidRDefault="00C71CA9" w:rsidP="00270379">
            <w:pPr>
              <w:spacing w:before="6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  <w:vertAlign w:val="subscript"/>
              </w:rPr>
              <w:t>noś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od 5  do 10</w:t>
            </w:r>
          </w:p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EB628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  <w:vertAlign w:val="subscript"/>
              </w:rPr>
              <w:t>noś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&lt; 5</w:t>
            </w:r>
          </w:p>
        </w:tc>
      </w:tr>
      <w:tr w:rsidR="00C71CA9" w:rsidRPr="00C71CA9" w14:paraId="14004481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F4DE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A9E8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Wskaźnik piaskowy (WP) według BN-64/8931-01 [13]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73181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WP 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sym w:font="Symbol" w:char="F03E"/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35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DE08" w14:textId="77777777" w:rsidR="00C71CA9" w:rsidRPr="00C71CA9" w:rsidRDefault="00C71CA9" w:rsidP="00270379">
            <w:pPr>
              <w:spacing w:before="6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WP od 25  do 35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AD46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WP &lt; 25</w:t>
            </w:r>
          </w:p>
        </w:tc>
      </w:tr>
      <w:tr w:rsidR="00C71CA9" w:rsidRPr="00C71CA9" w14:paraId="6F31BB97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B5E5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EF266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Zawartość cząstek poniżej </w:t>
            </w:r>
            <w:smartTag w:uri="urn:schemas-microsoft-com:office:smarttags" w:element="metricconverter">
              <w:smartTagPr>
                <w:attr w:name="ProductID" w:val="0,063 mm"/>
              </w:smartTagPr>
              <w:r w:rsidRPr="00C71CA9">
                <w:rPr>
                  <w:rFonts w:ascii="Aptos Display" w:hAnsi="Aptos Display" w:cs="Tahoma"/>
                  <w:bCs/>
                  <w:sz w:val="18"/>
                  <w:szCs w:val="18"/>
                </w:rPr>
                <w:t>0,063 mm</w:t>
              </w:r>
            </w:smartTag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według PN-B-06714-15 [5], %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1596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poniżej 20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FDD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od 20 do 30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CB8FE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powyżej 30</w:t>
            </w:r>
          </w:p>
        </w:tc>
      </w:tr>
      <w:tr w:rsidR="00C71CA9" w:rsidRPr="00C71CA9" w14:paraId="1D0B1703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8F75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A623B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Zawartość cząstek poniżej </w:t>
            </w:r>
            <w:smartTag w:uri="urn:schemas-microsoft-com:office:smarttags" w:element="metricconverter">
              <w:smartTagPr>
                <w:attr w:name="ProductID" w:val="0,02 mm"/>
              </w:smartTagPr>
              <w:r w:rsidRPr="00C71CA9">
                <w:rPr>
                  <w:rFonts w:ascii="Aptos Display" w:hAnsi="Aptos Display" w:cs="Tahoma"/>
                  <w:bCs/>
                  <w:sz w:val="18"/>
                  <w:szCs w:val="18"/>
                </w:rPr>
                <w:t>0,02 mm</w:t>
              </w:r>
            </w:smartTag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według PN-B-04481 [3], %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74C66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poniżej 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AAC2A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od 3 do 10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B8933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powyżej 10</w:t>
            </w:r>
          </w:p>
        </w:tc>
      </w:tr>
      <w:tr w:rsidR="00C71CA9" w:rsidRPr="00C71CA9" w14:paraId="7082B810" w14:textId="77777777" w:rsidTr="00270379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E8B61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F869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Kapilarność bierna według PN-B-04493 [4], m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8467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proofErr w:type="spellStart"/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H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  <w:vertAlign w:val="subscript"/>
              </w:rPr>
              <w:t>kb</w:t>
            </w:r>
            <w:proofErr w:type="spellEnd"/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&lt; 1,0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15FE" w14:textId="77777777" w:rsidR="00C71CA9" w:rsidRPr="00C71CA9" w:rsidRDefault="00C71CA9" w:rsidP="00270379">
            <w:pPr>
              <w:spacing w:before="6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proofErr w:type="spellStart"/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H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  <w:vertAlign w:val="subscript"/>
              </w:rPr>
              <w:t>kb</w:t>
            </w:r>
            <w:proofErr w:type="spellEnd"/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od 1,0 do 1,3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BA26B" w14:textId="77777777" w:rsidR="00C71CA9" w:rsidRPr="00C71CA9" w:rsidRDefault="00C71CA9" w:rsidP="00270379">
            <w:pPr>
              <w:spacing w:before="180" w:after="60"/>
              <w:jc w:val="center"/>
              <w:rPr>
                <w:rFonts w:ascii="Aptos Display" w:hAnsi="Aptos Display" w:cs="Tahoma"/>
                <w:bCs/>
                <w:sz w:val="18"/>
                <w:szCs w:val="18"/>
              </w:rPr>
            </w:pPr>
            <w:proofErr w:type="spellStart"/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H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  <w:vertAlign w:val="subscript"/>
              </w:rPr>
              <w:t>kb</w:t>
            </w:r>
            <w:proofErr w:type="spellEnd"/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&gt; 1,3</w:t>
            </w:r>
          </w:p>
        </w:tc>
      </w:tr>
    </w:tbl>
    <w:p w14:paraId="61DC2BCE" w14:textId="77777777" w:rsidR="00C71CA9" w:rsidRPr="00C71CA9" w:rsidRDefault="00C71CA9" w:rsidP="00C71CA9">
      <w:pPr>
        <w:rPr>
          <w:rFonts w:ascii="Aptos Display" w:hAnsi="Aptos Display" w:cs="Tahoma"/>
          <w:bCs/>
          <w:sz w:val="18"/>
          <w:szCs w:val="18"/>
        </w:rPr>
      </w:pPr>
    </w:p>
    <w:p w14:paraId="5689708D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 xml:space="preserve">Badaniami powinny być objęte próbki gruntów pobrane co najmniej na głębokość strefy przemarzania (od 0,8 do </w:t>
      </w:r>
      <w:smartTag w:uri="urn:schemas-microsoft-com:office:smarttags" w:element="metricconverter">
        <w:smartTagPr>
          <w:attr w:name="ProductID" w:val="1,4 m"/>
        </w:smartTagPr>
        <w:r w:rsidRPr="00C71CA9">
          <w:rPr>
            <w:rFonts w:ascii="Aptos Display" w:hAnsi="Aptos Display" w:cs="Tahoma"/>
            <w:bCs/>
            <w:sz w:val="18"/>
            <w:szCs w:val="18"/>
          </w:rPr>
          <w:t>1,4 m</w:t>
        </w:r>
      </w:smartTag>
      <w:r w:rsidRPr="00C71CA9">
        <w:rPr>
          <w:rFonts w:ascii="Aptos Display" w:hAnsi="Aptos Display" w:cs="Tahoma"/>
          <w:bCs/>
          <w:sz w:val="18"/>
          <w:szCs w:val="18"/>
        </w:rPr>
        <w:t xml:space="preserve"> od  poziomu terenu).</w:t>
      </w:r>
    </w:p>
    <w:p w14:paraId="71AFAE95" w14:textId="77777777" w:rsidR="00C71CA9" w:rsidRPr="00C71CA9" w:rsidRDefault="00C71CA9" w:rsidP="00C71CA9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13" w:name="_Toc426175609"/>
      <w:r w:rsidRPr="00C71CA9">
        <w:rPr>
          <w:rFonts w:ascii="Aptos Display" w:hAnsi="Aptos Display" w:cs="Tahoma"/>
          <w:b w:val="0"/>
          <w:sz w:val="18"/>
          <w:szCs w:val="18"/>
        </w:rPr>
        <w:t>3. sprzęt</w:t>
      </w:r>
      <w:bookmarkEnd w:id="13"/>
    </w:p>
    <w:p w14:paraId="7BC97067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Ogólne wymagania dotyczące sprzętu podano w SST D-M-00.00.00 „Wymagania ogólne” pkt 3.</w:t>
      </w:r>
    </w:p>
    <w:p w14:paraId="79EA1D5F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 xml:space="preserve">Do wykonania nawierzchni gruntowych należy stosować sprzęt określony w OST D-05.01.01 „Nawierzchnia gruntowa naturalna” </w:t>
      </w:r>
    </w:p>
    <w:p w14:paraId="2575AC64" w14:textId="77777777" w:rsidR="00C71CA9" w:rsidRPr="00C71CA9" w:rsidRDefault="00C71CA9" w:rsidP="00C71CA9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14" w:name="_Toc426175610"/>
      <w:r w:rsidRPr="00C71CA9">
        <w:rPr>
          <w:rFonts w:ascii="Aptos Display" w:hAnsi="Aptos Display" w:cs="Tahoma"/>
          <w:b w:val="0"/>
          <w:sz w:val="18"/>
          <w:szCs w:val="18"/>
        </w:rPr>
        <w:t>4. transport</w:t>
      </w:r>
      <w:bookmarkEnd w:id="14"/>
    </w:p>
    <w:p w14:paraId="2E633AF1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Ogólne wymagania dotyczące transportu podano w SST D-M-00.00.00 „Wymagania ogólne” pkt 4.</w:t>
      </w:r>
    </w:p>
    <w:p w14:paraId="2FD8F563" w14:textId="77777777" w:rsidR="00C71CA9" w:rsidRPr="00C71CA9" w:rsidRDefault="00C71CA9" w:rsidP="00C71CA9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15" w:name="_Toc426175611"/>
      <w:r w:rsidRPr="00C71CA9">
        <w:rPr>
          <w:rFonts w:ascii="Aptos Display" w:hAnsi="Aptos Display" w:cs="Tahoma"/>
          <w:b w:val="0"/>
          <w:sz w:val="18"/>
          <w:szCs w:val="18"/>
        </w:rPr>
        <w:t>5. wykonanie robót</w:t>
      </w:r>
      <w:bookmarkEnd w:id="15"/>
    </w:p>
    <w:p w14:paraId="314A9588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5.1. Ogólne zasady wykonania robót</w:t>
      </w:r>
    </w:p>
    <w:p w14:paraId="15574F96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Ogólne zasady wykonania robót podano w SST D-M-00.00.00 „Wymagania ogólne” pkt 5.</w:t>
      </w:r>
    </w:p>
    <w:p w14:paraId="5194E46A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5.2. Przygotowanie podłoża</w:t>
      </w:r>
    </w:p>
    <w:p w14:paraId="580B95D1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Paliki lub szpilki do prawidłowego ukształtowania nawierzchni powinny być wcześniej przygotowane.</w:t>
      </w:r>
    </w:p>
    <w:p w14:paraId="4F7F4E90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Paliki lub szpilki należy ustawiać w osi drogi i w rzędach równoległych do osi drogi.</w:t>
      </w:r>
    </w:p>
    <w:p w14:paraId="61F5C9C5" w14:textId="77777777" w:rsidR="00C71CA9" w:rsidRPr="00C71CA9" w:rsidRDefault="00C71CA9" w:rsidP="00C71CA9">
      <w:pPr>
        <w:ind w:firstLine="709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 xml:space="preserve">Rozmieszczenie palików lub szpilek powinno umożliwić naciągnięcie sznurków lub linek do wytyczenia robót w odstępach nie większych niż co </w:t>
      </w:r>
      <w:smartTag w:uri="urn:schemas-microsoft-com:office:smarttags" w:element="metricconverter">
        <w:smartTagPr>
          <w:attr w:name="ProductID" w:val="10 metr￳w"/>
        </w:smartTagPr>
        <w:r w:rsidRPr="00C71CA9">
          <w:rPr>
            <w:rFonts w:ascii="Aptos Display" w:hAnsi="Aptos Display" w:cs="Tahoma"/>
            <w:bCs/>
            <w:sz w:val="18"/>
            <w:szCs w:val="18"/>
          </w:rPr>
          <w:t>10 metrów</w:t>
        </w:r>
      </w:smartTag>
      <w:r w:rsidRPr="00C71CA9">
        <w:rPr>
          <w:rFonts w:ascii="Aptos Display" w:hAnsi="Aptos Display" w:cs="Tahoma"/>
          <w:bCs/>
          <w:sz w:val="18"/>
          <w:szCs w:val="18"/>
        </w:rPr>
        <w:t>.</w:t>
      </w:r>
    </w:p>
    <w:p w14:paraId="2D4A7424" w14:textId="77777777" w:rsidR="00C71CA9" w:rsidRPr="00C71CA9" w:rsidRDefault="00C71CA9" w:rsidP="00C71CA9">
      <w:pPr>
        <w:ind w:firstLine="709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Przed wykonaniem nawierzchni należy oczyścić i przygotować podłoże.</w:t>
      </w:r>
    </w:p>
    <w:p w14:paraId="1C56604C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5.3. Wykonanie nawierzchni</w:t>
      </w:r>
    </w:p>
    <w:p w14:paraId="38B90792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 xml:space="preserve">Wymagania dotyczące wykonania nawierzchni gruntowej i jej pielęgnacji podano w SST D-05.01.01 „Nawierzchnia gruntowa naturalna” </w:t>
      </w:r>
    </w:p>
    <w:p w14:paraId="2D643C37" w14:textId="77777777" w:rsidR="00C71CA9" w:rsidRPr="00C71CA9" w:rsidRDefault="00C71CA9" w:rsidP="00C71CA9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16" w:name="_Toc426175612"/>
      <w:r w:rsidRPr="00C71CA9">
        <w:rPr>
          <w:rFonts w:ascii="Aptos Display" w:hAnsi="Aptos Display" w:cs="Tahoma"/>
          <w:b w:val="0"/>
          <w:sz w:val="18"/>
          <w:szCs w:val="18"/>
        </w:rPr>
        <w:t>6. kontrola jakości robót</w:t>
      </w:r>
      <w:bookmarkEnd w:id="16"/>
    </w:p>
    <w:p w14:paraId="7966CB17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6.1. Ogólne zasady kontroli jakości robót</w:t>
      </w:r>
    </w:p>
    <w:p w14:paraId="778A2BA3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 xml:space="preserve">Ogólne zasady kontroli jakości robót podano w SST D-M-00.00.00 „Wymagania ogólne” pkt </w:t>
      </w:r>
      <w:smartTag w:uri="urn:schemas-microsoft-com:office:smarttags" w:element="metricconverter">
        <w:smartTagPr>
          <w:attr w:name="ProductID" w:val="6, a"/>
        </w:smartTagPr>
        <w:r w:rsidRPr="00C71CA9">
          <w:rPr>
            <w:rFonts w:ascii="Aptos Display" w:hAnsi="Aptos Display" w:cs="Tahoma"/>
            <w:bCs/>
            <w:sz w:val="18"/>
            <w:szCs w:val="18"/>
          </w:rPr>
          <w:t>6, a</w:t>
        </w:r>
      </w:smartTag>
      <w:r w:rsidRPr="00C71CA9">
        <w:rPr>
          <w:rFonts w:ascii="Aptos Display" w:hAnsi="Aptos Display" w:cs="Tahoma"/>
          <w:bCs/>
          <w:sz w:val="18"/>
          <w:szCs w:val="18"/>
        </w:rPr>
        <w:t xml:space="preserve"> pozostałe zasady w OST D-05.01.01 dla nawierzchni gruntowej naturalnej pkt 6.</w:t>
      </w:r>
    </w:p>
    <w:p w14:paraId="0AB8F6D7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6.2. Wymagania dotyczące cech geometrycznych nawierzchni</w:t>
      </w:r>
    </w:p>
    <w:p w14:paraId="74E25BDC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6.2.1. Równość nawierzchni</w:t>
      </w:r>
    </w:p>
    <w:p w14:paraId="2AEB0B3F" w14:textId="77777777" w:rsidR="00C71CA9" w:rsidRPr="00C71CA9" w:rsidRDefault="00C71CA9" w:rsidP="00C71CA9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Nierówności podłużne nawierzchni należy mierzyć 4-metrową łatą, zgodnie z normą BN-68/8931-04 [16].</w:t>
      </w:r>
    </w:p>
    <w:p w14:paraId="161B4156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 xml:space="preserve">Nierówności nawierzchni gruntowej nie powinny przekraczać </w:t>
      </w:r>
      <w:smartTag w:uri="urn:schemas-microsoft-com:office:smarttags" w:element="metricconverter">
        <w:smartTagPr>
          <w:attr w:name="ProductID" w:val="15 mm"/>
        </w:smartTagPr>
        <w:r w:rsidRPr="00C71CA9">
          <w:rPr>
            <w:rFonts w:ascii="Aptos Display" w:hAnsi="Aptos Display" w:cs="Tahoma"/>
            <w:bCs/>
            <w:sz w:val="18"/>
            <w:szCs w:val="18"/>
          </w:rPr>
          <w:t>15 mm</w:t>
        </w:r>
      </w:smartTag>
      <w:r w:rsidRPr="00C71CA9">
        <w:rPr>
          <w:rFonts w:ascii="Aptos Display" w:hAnsi="Aptos Display" w:cs="Tahoma"/>
          <w:bCs/>
          <w:sz w:val="18"/>
          <w:szCs w:val="18"/>
        </w:rPr>
        <w:t>.</w:t>
      </w:r>
    </w:p>
    <w:p w14:paraId="2EA644BA" w14:textId="77777777" w:rsidR="00C71CA9" w:rsidRPr="00C71CA9" w:rsidRDefault="00C71CA9" w:rsidP="00C71CA9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6.2.2. Spadki poprzeczne nawierzchni</w:t>
      </w:r>
    </w:p>
    <w:p w14:paraId="3BA76E29" w14:textId="77777777" w:rsidR="00C71CA9" w:rsidRPr="00C71CA9" w:rsidRDefault="00C71CA9" w:rsidP="00C71CA9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Spadki poprzeczne nawierzchni należy mierzyć przy użyciu 4-metrowej łaty i poziomicy.</w:t>
      </w:r>
    </w:p>
    <w:p w14:paraId="2139E586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 xml:space="preserve">Odchylenia spadków poprzecznych nawierzchni na prostych i łukach nie powinny być większe niż </w:t>
      </w:r>
      <w:r w:rsidRPr="00C71CA9">
        <w:rPr>
          <w:rFonts w:ascii="Aptos Display" w:hAnsi="Aptos Display" w:cs="Tahoma"/>
          <w:bCs/>
          <w:sz w:val="18"/>
          <w:szCs w:val="18"/>
        </w:rPr>
        <w:sym w:font="Symbol" w:char="F0B1"/>
      </w:r>
      <w:r w:rsidRPr="00C71CA9">
        <w:rPr>
          <w:rFonts w:ascii="Aptos Display" w:hAnsi="Aptos Display" w:cs="Tahoma"/>
          <w:bCs/>
          <w:sz w:val="18"/>
          <w:szCs w:val="18"/>
        </w:rPr>
        <w:t xml:space="preserve"> 0,5 % od spadków projektowanych.</w:t>
      </w:r>
    </w:p>
    <w:p w14:paraId="45271C39" w14:textId="77777777" w:rsidR="00C71CA9" w:rsidRPr="00C71CA9" w:rsidRDefault="00C71CA9" w:rsidP="00C71CA9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 xml:space="preserve">6.2.3. Rzędne wysokościowe </w:t>
      </w:r>
    </w:p>
    <w:p w14:paraId="087288AF" w14:textId="77777777" w:rsidR="00C71CA9" w:rsidRPr="00C71CA9" w:rsidRDefault="00C71CA9" w:rsidP="00C71CA9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 xml:space="preserve">Odchylenie rzędnych wysokościowych nawierzchni od rzędnych projektowanych nie powinno być większe niż + </w:t>
      </w:r>
      <w:smartTag w:uri="urn:schemas-microsoft-com:office:smarttags" w:element="metricconverter">
        <w:smartTagPr>
          <w:attr w:name="ProductID" w:val="1 cm"/>
        </w:smartTagPr>
        <w:r w:rsidRPr="00C71CA9">
          <w:rPr>
            <w:rFonts w:ascii="Aptos Display" w:hAnsi="Aptos Display" w:cs="Tahoma"/>
            <w:bCs/>
            <w:sz w:val="18"/>
            <w:szCs w:val="18"/>
          </w:rPr>
          <w:t>1 cm</w:t>
        </w:r>
      </w:smartTag>
      <w:r w:rsidRPr="00C71CA9">
        <w:rPr>
          <w:rFonts w:ascii="Aptos Display" w:hAnsi="Aptos Display" w:cs="Tahoma"/>
          <w:bCs/>
          <w:sz w:val="18"/>
          <w:szCs w:val="18"/>
        </w:rPr>
        <w:t xml:space="preserve"> i </w:t>
      </w:r>
      <w:smartTag w:uri="urn:schemas-microsoft-com:office:smarttags" w:element="metricconverter">
        <w:smartTagPr>
          <w:attr w:name="ProductID" w:val="-3 cm"/>
        </w:smartTagPr>
        <w:r w:rsidRPr="00C71CA9">
          <w:rPr>
            <w:rFonts w:ascii="Aptos Display" w:hAnsi="Aptos Display" w:cs="Tahoma"/>
            <w:bCs/>
            <w:sz w:val="18"/>
            <w:szCs w:val="18"/>
          </w:rPr>
          <w:t>-3 cm</w:t>
        </w:r>
      </w:smartTag>
      <w:r w:rsidRPr="00C71CA9">
        <w:rPr>
          <w:rFonts w:ascii="Aptos Display" w:hAnsi="Aptos Display" w:cs="Tahoma"/>
          <w:bCs/>
          <w:sz w:val="18"/>
          <w:szCs w:val="18"/>
        </w:rPr>
        <w:t>.</w:t>
      </w:r>
    </w:p>
    <w:p w14:paraId="2CF24A1D" w14:textId="77777777" w:rsidR="00C71CA9" w:rsidRPr="00C71CA9" w:rsidRDefault="00C71CA9" w:rsidP="00C71CA9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6.2.4. Ukształtowanie osi nawierzchni</w:t>
      </w:r>
    </w:p>
    <w:p w14:paraId="6611F846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 xml:space="preserve">Oś nawierzchni w planie nie może być przesunięta w stosunku do osi projektowanej o więcej niż </w:t>
      </w:r>
      <w:r w:rsidRPr="00C71CA9">
        <w:rPr>
          <w:rFonts w:ascii="Aptos Display" w:hAnsi="Aptos Display" w:cs="Tahoma"/>
          <w:bCs/>
          <w:sz w:val="18"/>
          <w:szCs w:val="18"/>
        </w:rPr>
        <w:sym w:font="Symbol" w:char="F0B1"/>
      </w:r>
      <w:r w:rsidRPr="00C71CA9">
        <w:rPr>
          <w:rFonts w:ascii="Aptos Display" w:hAnsi="Aptos Display" w:cs="Tahoma"/>
          <w:bCs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C71CA9">
          <w:rPr>
            <w:rFonts w:ascii="Aptos Display" w:hAnsi="Aptos Display" w:cs="Tahoma"/>
            <w:bCs/>
            <w:sz w:val="18"/>
            <w:szCs w:val="18"/>
          </w:rPr>
          <w:t>5 cm</w:t>
        </w:r>
      </w:smartTag>
      <w:r w:rsidRPr="00C71CA9">
        <w:rPr>
          <w:rFonts w:ascii="Aptos Display" w:hAnsi="Aptos Display" w:cs="Tahoma"/>
          <w:bCs/>
          <w:sz w:val="18"/>
          <w:szCs w:val="18"/>
        </w:rPr>
        <w:t>.</w:t>
      </w:r>
    </w:p>
    <w:p w14:paraId="5A6E890B" w14:textId="77777777" w:rsidR="00C71CA9" w:rsidRPr="00C71CA9" w:rsidRDefault="00C71CA9" w:rsidP="00C71CA9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6.2.5. Szerokość nawierzchni</w:t>
      </w:r>
    </w:p>
    <w:p w14:paraId="5D8C4F40" w14:textId="77777777" w:rsidR="00C71CA9" w:rsidRPr="00C71CA9" w:rsidRDefault="00C71CA9" w:rsidP="00C71CA9">
      <w:pPr>
        <w:spacing w:before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 xml:space="preserve">Szerokość nawierzchni nie może różnić się od szerokości projektowanej o więcej niż + </w:t>
      </w:r>
      <w:smartTag w:uri="urn:schemas-microsoft-com:office:smarttags" w:element="metricconverter">
        <w:smartTagPr>
          <w:attr w:name="ProductID" w:val="10 cm"/>
        </w:smartTagPr>
        <w:r w:rsidRPr="00C71CA9">
          <w:rPr>
            <w:rFonts w:ascii="Aptos Display" w:hAnsi="Aptos Display" w:cs="Tahoma"/>
            <w:bCs/>
            <w:sz w:val="18"/>
            <w:szCs w:val="18"/>
          </w:rPr>
          <w:t>10 cm</w:t>
        </w:r>
      </w:smartTag>
      <w:r w:rsidRPr="00C71CA9">
        <w:rPr>
          <w:rFonts w:ascii="Aptos Display" w:hAnsi="Aptos Display" w:cs="Tahoma"/>
          <w:bCs/>
          <w:sz w:val="18"/>
          <w:szCs w:val="18"/>
        </w:rPr>
        <w:t xml:space="preserve"> i </w:t>
      </w:r>
      <w:smartTag w:uri="urn:schemas-microsoft-com:office:smarttags" w:element="metricconverter">
        <w:smartTagPr>
          <w:attr w:name="ProductID" w:val="-5 cm"/>
        </w:smartTagPr>
        <w:r w:rsidRPr="00C71CA9">
          <w:rPr>
            <w:rFonts w:ascii="Aptos Display" w:hAnsi="Aptos Display" w:cs="Tahoma"/>
            <w:bCs/>
            <w:sz w:val="18"/>
            <w:szCs w:val="18"/>
          </w:rPr>
          <w:t>-5 cm</w:t>
        </w:r>
      </w:smartTag>
      <w:r w:rsidRPr="00C71CA9">
        <w:rPr>
          <w:rFonts w:ascii="Aptos Display" w:hAnsi="Aptos Display" w:cs="Tahoma"/>
          <w:bCs/>
          <w:sz w:val="18"/>
          <w:szCs w:val="18"/>
        </w:rPr>
        <w:t>.</w:t>
      </w:r>
    </w:p>
    <w:p w14:paraId="6AC9256F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6.3. Częstotliwość oraz zakres badań i pomiarów</w:t>
      </w:r>
    </w:p>
    <w:p w14:paraId="41AE15B3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Częstotliwość oraz zakres badań i pomiarów wykonanej nawierzchni gruntowej podano w tablicy 2.</w:t>
      </w:r>
    </w:p>
    <w:p w14:paraId="4E834FF7" w14:textId="77777777" w:rsidR="00C71CA9" w:rsidRPr="00C71CA9" w:rsidRDefault="00C71CA9" w:rsidP="00C71CA9">
      <w:pPr>
        <w:spacing w:before="120"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Tablica 2. Częstotliwość oraz zakres badań i pomiarów wykonanej nawierzchni gruntowej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334"/>
        <w:gridCol w:w="3420"/>
      </w:tblGrid>
      <w:tr w:rsidR="00C71CA9" w:rsidRPr="00C71CA9" w14:paraId="302D64E9" w14:textId="77777777" w:rsidTr="00270379">
        <w:tc>
          <w:tcPr>
            <w:tcW w:w="496" w:type="dxa"/>
            <w:tcBorders>
              <w:bottom w:val="double" w:sz="6" w:space="0" w:color="auto"/>
            </w:tcBorders>
          </w:tcPr>
          <w:p w14:paraId="1E9F8BB4" w14:textId="77777777" w:rsidR="00C71CA9" w:rsidRPr="00C71CA9" w:rsidRDefault="00C71CA9" w:rsidP="00270379">
            <w:pPr>
              <w:spacing w:before="12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Lp.               </w:t>
            </w:r>
          </w:p>
        </w:tc>
        <w:tc>
          <w:tcPr>
            <w:tcW w:w="5334" w:type="dxa"/>
            <w:tcBorders>
              <w:bottom w:val="double" w:sz="6" w:space="0" w:color="auto"/>
            </w:tcBorders>
          </w:tcPr>
          <w:p w14:paraId="69BF2B1D" w14:textId="77777777" w:rsidR="00C71CA9" w:rsidRPr="00C71CA9" w:rsidRDefault="00C71CA9" w:rsidP="00270379">
            <w:pPr>
              <w:spacing w:before="12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Wyszczególnienie badań i pomiarów</w:t>
            </w:r>
          </w:p>
        </w:tc>
        <w:tc>
          <w:tcPr>
            <w:tcW w:w="3420" w:type="dxa"/>
            <w:tcBorders>
              <w:bottom w:val="double" w:sz="6" w:space="0" w:color="auto"/>
            </w:tcBorders>
          </w:tcPr>
          <w:p w14:paraId="65E5F69D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Minimalna częstotliwość</w:t>
            </w:r>
          </w:p>
          <w:p w14:paraId="4232C146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badań i pomiarów</w:t>
            </w:r>
          </w:p>
        </w:tc>
      </w:tr>
      <w:tr w:rsidR="00C71CA9" w:rsidRPr="00C71CA9" w14:paraId="138B8764" w14:textId="77777777" w:rsidTr="00270379">
        <w:tc>
          <w:tcPr>
            <w:tcW w:w="496" w:type="dxa"/>
          </w:tcPr>
          <w:p w14:paraId="58850740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</w:t>
            </w:r>
          </w:p>
        </w:tc>
        <w:tc>
          <w:tcPr>
            <w:tcW w:w="5334" w:type="dxa"/>
          </w:tcPr>
          <w:p w14:paraId="0273FC78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Równość podłużna</w:t>
            </w:r>
          </w:p>
        </w:tc>
        <w:tc>
          <w:tcPr>
            <w:tcW w:w="3420" w:type="dxa"/>
          </w:tcPr>
          <w:p w14:paraId="36A92F62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C71CA9">
                <w:rPr>
                  <w:rFonts w:ascii="Aptos Display" w:hAnsi="Aptos Display" w:cs="Tahoma"/>
                  <w:bCs/>
                  <w:sz w:val="18"/>
                  <w:szCs w:val="18"/>
                </w:rPr>
                <w:t>20 m</w:t>
              </w:r>
            </w:smartTag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łatą na każdym pasie ruchu</w:t>
            </w:r>
          </w:p>
        </w:tc>
      </w:tr>
      <w:tr w:rsidR="00C71CA9" w:rsidRPr="00C71CA9" w14:paraId="4DDB2562" w14:textId="77777777" w:rsidTr="00270379">
        <w:tc>
          <w:tcPr>
            <w:tcW w:w="496" w:type="dxa"/>
          </w:tcPr>
          <w:p w14:paraId="6AD5C810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2</w:t>
            </w:r>
          </w:p>
        </w:tc>
        <w:tc>
          <w:tcPr>
            <w:tcW w:w="5334" w:type="dxa"/>
          </w:tcPr>
          <w:p w14:paraId="26690B9E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Równość poprzeczna</w:t>
            </w:r>
          </w:p>
        </w:tc>
        <w:tc>
          <w:tcPr>
            <w:tcW w:w="3420" w:type="dxa"/>
          </w:tcPr>
          <w:p w14:paraId="26EF8557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C71CA9">
                <w:rPr>
                  <w:rFonts w:ascii="Aptos Display" w:hAnsi="Aptos Display" w:cs="Tahoma"/>
                  <w:bCs/>
                  <w:sz w:val="18"/>
                  <w:szCs w:val="18"/>
                </w:rPr>
                <w:t>1 km</w:t>
              </w:r>
            </w:smartTag>
          </w:p>
        </w:tc>
      </w:tr>
      <w:tr w:rsidR="00C71CA9" w:rsidRPr="00C71CA9" w14:paraId="255AE49A" w14:textId="77777777" w:rsidTr="00270379">
        <w:tc>
          <w:tcPr>
            <w:tcW w:w="496" w:type="dxa"/>
          </w:tcPr>
          <w:p w14:paraId="6B360514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3</w:t>
            </w:r>
          </w:p>
        </w:tc>
        <w:tc>
          <w:tcPr>
            <w:tcW w:w="5334" w:type="dxa"/>
          </w:tcPr>
          <w:p w14:paraId="126DC05D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Spadki poprzeczne 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3420" w:type="dxa"/>
            <w:tcBorders>
              <w:bottom w:val="nil"/>
            </w:tcBorders>
          </w:tcPr>
          <w:p w14:paraId="17795913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C71CA9">
                <w:rPr>
                  <w:rFonts w:ascii="Aptos Display" w:hAnsi="Aptos Display" w:cs="Tahoma"/>
                  <w:bCs/>
                  <w:sz w:val="18"/>
                  <w:szCs w:val="18"/>
                </w:rPr>
                <w:t>1 km</w:t>
              </w:r>
            </w:smartTag>
          </w:p>
        </w:tc>
      </w:tr>
      <w:tr w:rsidR="00C71CA9" w:rsidRPr="00C71CA9" w14:paraId="41D882C2" w14:textId="77777777" w:rsidTr="00270379">
        <w:tc>
          <w:tcPr>
            <w:tcW w:w="496" w:type="dxa"/>
          </w:tcPr>
          <w:p w14:paraId="2B00B25A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5334" w:type="dxa"/>
          </w:tcPr>
          <w:p w14:paraId="54C6E855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Rzędne wysokościowe</w:t>
            </w:r>
          </w:p>
        </w:tc>
        <w:tc>
          <w:tcPr>
            <w:tcW w:w="3420" w:type="dxa"/>
            <w:tcBorders>
              <w:bottom w:val="single" w:sz="6" w:space="0" w:color="auto"/>
            </w:tcBorders>
          </w:tcPr>
          <w:p w14:paraId="6DCBE336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C71CA9">
                <w:rPr>
                  <w:rFonts w:ascii="Aptos Display" w:hAnsi="Aptos Display" w:cs="Tahoma"/>
                  <w:bCs/>
                  <w:sz w:val="18"/>
                  <w:szCs w:val="18"/>
                </w:rPr>
                <w:t>100 m</w:t>
              </w:r>
            </w:smartTag>
          </w:p>
        </w:tc>
      </w:tr>
      <w:tr w:rsidR="00C71CA9" w:rsidRPr="00C71CA9" w14:paraId="52489424" w14:textId="77777777" w:rsidTr="00270379">
        <w:tc>
          <w:tcPr>
            <w:tcW w:w="496" w:type="dxa"/>
          </w:tcPr>
          <w:p w14:paraId="2A1D14EF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5</w:t>
            </w:r>
          </w:p>
        </w:tc>
        <w:tc>
          <w:tcPr>
            <w:tcW w:w="5334" w:type="dxa"/>
          </w:tcPr>
          <w:p w14:paraId="38B8E11A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Ukształtowanie osi w planie </w:t>
            </w:r>
            <w:r w:rsidRPr="00C71CA9">
              <w:rPr>
                <w:rFonts w:ascii="Aptos Display" w:hAnsi="Aptos Display" w:cs="Tahoma"/>
                <w:bCs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3420" w:type="dxa"/>
            <w:tcBorders>
              <w:top w:val="nil"/>
            </w:tcBorders>
          </w:tcPr>
          <w:p w14:paraId="27A078D7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C71CA9">
                <w:rPr>
                  <w:rFonts w:ascii="Aptos Display" w:hAnsi="Aptos Display" w:cs="Tahoma"/>
                  <w:bCs/>
                  <w:sz w:val="18"/>
                  <w:szCs w:val="18"/>
                </w:rPr>
                <w:t>100 m</w:t>
              </w:r>
            </w:smartTag>
          </w:p>
        </w:tc>
      </w:tr>
      <w:tr w:rsidR="00C71CA9" w:rsidRPr="00C71CA9" w14:paraId="68729AE3" w14:textId="77777777" w:rsidTr="00270379">
        <w:tc>
          <w:tcPr>
            <w:tcW w:w="496" w:type="dxa"/>
          </w:tcPr>
          <w:p w14:paraId="45680038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6</w:t>
            </w:r>
          </w:p>
        </w:tc>
        <w:tc>
          <w:tcPr>
            <w:tcW w:w="5334" w:type="dxa"/>
          </w:tcPr>
          <w:p w14:paraId="41DD47B3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Szerokość nawierzchni</w:t>
            </w:r>
          </w:p>
        </w:tc>
        <w:tc>
          <w:tcPr>
            <w:tcW w:w="3420" w:type="dxa"/>
          </w:tcPr>
          <w:p w14:paraId="61147252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C71CA9">
                <w:rPr>
                  <w:rFonts w:ascii="Aptos Display" w:hAnsi="Aptos Display" w:cs="Tahoma"/>
                  <w:bCs/>
                  <w:sz w:val="18"/>
                  <w:szCs w:val="18"/>
                </w:rPr>
                <w:t>1 km</w:t>
              </w:r>
            </w:smartTag>
          </w:p>
        </w:tc>
      </w:tr>
      <w:tr w:rsidR="00C71CA9" w:rsidRPr="00C71CA9" w14:paraId="7923D3EE" w14:textId="77777777" w:rsidTr="002703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5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CF446" w14:textId="77777777" w:rsidR="00C71CA9" w:rsidRPr="00C71CA9" w:rsidRDefault="00C71CA9" w:rsidP="00270379">
            <w:pPr>
              <w:spacing w:before="60" w:after="60"/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*) Dodatkowe pomiary spadków poprzecznych i ukształtowania osi w planie należy wykonać w punktach głównych łuków poziomych.</w:t>
            </w:r>
          </w:p>
        </w:tc>
      </w:tr>
    </w:tbl>
    <w:p w14:paraId="6E863BA2" w14:textId="77777777" w:rsidR="00C71CA9" w:rsidRPr="00C71CA9" w:rsidRDefault="00C71CA9" w:rsidP="00C71CA9">
      <w:pPr>
        <w:pStyle w:val="Nagwek1"/>
        <w:spacing w:before="360"/>
        <w:rPr>
          <w:rFonts w:ascii="Aptos Display" w:hAnsi="Aptos Display" w:cs="Tahoma"/>
          <w:b w:val="0"/>
          <w:sz w:val="18"/>
          <w:szCs w:val="18"/>
        </w:rPr>
      </w:pPr>
      <w:bookmarkStart w:id="17" w:name="_Toc419094307"/>
      <w:bookmarkStart w:id="18" w:name="_Toc426175613"/>
      <w:r w:rsidRPr="00C71CA9">
        <w:rPr>
          <w:rFonts w:ascii="Aptos Display" w:hAnsi="Aptos Display" w:cs="Tahoma"/>
          <w:b w:val="0"/>
          <w:sz w:val="18"/>
          <w:szCs w:val="18"/>
        </w:rPr>
        <w:t>7. obmiar robót</w:t>
      </w:r>
      <w:bookmarkEnd w:id="17"/>
      <w:bookmarkEnd w:id="18"/>
    </w:p>
    <w:p w14:paraId="2EAA9E87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7.1. Ogólne zasady obmiaru robót</w:t>
      </w:r>
    </w:p>
    <w:p w14:paraId="62907170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Ogólne zasady obmiaru robót podano w SST D-M-00.00.00 „Wymagania ogólne” pkt 7.</w:t>
      </w:r>
    </w:p>
    <w:p w14:paraId="5A5CD211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7.2. Jednostka obmiarowa</w:t>
      </w:r>
    </w:p>
    <w:p w14:paraId="35F3C419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Jednostką obmiarową jest m</w:t>
      </w:r>
      <w:r w:rsidRPr="00C71CA9">
        <w:rPr>
          <w:rFonts w:ascii="Aptos Display" w:hAnsi="Aptos Display" w:cs="Tahoma"/>
          <w:bCs/>
          <w:sz w:val="18"/>
          <w:szCs w:val="18"/>
          <w:vertAlign w:val="superscript"/>
        </w:rPr>
        <w:t>2</w:t>
      </w:r>
      <w:r w:rsidRPr="00C71CA9">
        <w:rPr>
          <w:rFonts w:ascii="Aptos Display" w:hAnsi="Aptos Display" w:cs="Tahoma"/>
          <w:bCs/>
          <w:sz w:val="18"/>
          <w:szCs w:val="18"/>
        </w:rPr>
        <w:t xml:space="preserve"> (metr kwadratowy) nawierzchni gruntowej.</w:t>
      </w:r>
    </w:p>
    <w:p w14:paraId="63B6B877" w14:textId="77777777" w:rsidR="00C71CA9" w:rsidRPr="00C71CA9" w:rsidRDefault="00C71CA9" w:rsidP="00C71CA9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19" w:name="_Toc419094308"/>
      <w:bookmarkStart w:id="20" w:name="_Toc426175614"/>
      <w:r w:rsidRPr="00C71CA9">
        <w:rPr>
          <w:rFonts w:ascii="Aptos Display" w:hAnsi="Aptos Display" w:cs="Tahoma"/>
          <w:b w:val="0"/>
          <w:sz w:val="18"/>
          <w:szCs w:val="18"/>
        </w:rPr>
        <w:t>8. odbiór robót</w:t>
      </w:r>
      <w:bookmarkEnd w:id="19"/>
      <w:bookmarkEnd w:id="20"/>
    </w:p>
    <w:p w14:paraId="73CF8EB6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Ogólne zasady odbioru robót podano w SST D-M-00.00.00 „Wymagania ogólne” pkt 8.</w:t>
      </w:r>
    </w:p>
    <w:p w14:paraId="7CA2C204" w14:textId="77777777" w:rsidR="00C71CA9" w:rsidRPr="00C71CA9" w:rsidRDefault="00C71CA9" w:rsidP="00C71CA9">
      <w:pPr>
        <w:spacing w:after="120"/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Roboty uznaje się za wykonane zgodnie z dokumentacją projektową, SST i wymaganiami Inżyniera, jeżeli wszystkie badania i pomiary z zachowaniem tolerancji według pkt 6 dały wyniki pozytywne.</w:t>
      </w:r>
    </w:p>
    <w:p w14:paraId="0AFA14DC" w14:textId="77777777" w:rsidR="00C71CA9" w:rsidRPr="00C71CA9" w:rsidRDefault="00C71CA9" w:rsidP="00C71CA9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21" w:name="_Toc419094309"/>
      <w:bookmarkStart w:id="22" w:name="_Toc426175615"/>
      <w:r w:rsidRPr="00C71CA9">
        <w:rPr>
          <w:rFonts w:ascii="Aptos Display" w:hAnsi="Aptos Display" w:cs="Tahoma"/>
          <w:b w:val="0"/>
          <w:sz w:val="18"/>
          <w:szCs w:val="18"/>
        </w:rPr>
        <w:t>9. podstawa płatności</w:t>
      </w:r>
      <w:bookmarkEnd w:id="21"/>
      <w:bookmarkEnd w:id="22"/>
    </w:p>
    <w:p w14:paraId="36FEE3B6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9.1. Ogólne ustalenia dotyczące podstawy płatności</w:t>
      </w:r>
    </w:p>
    <w:p w14:paraId="6B7281E6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>Ogólne ustalenia dotyczące podstawy płatności podano w SST D-M-00.00.00 „Wymagania ogólne” pkt 9.</w:t>
      </w:r>
    </w:p>
    <w:p w14:paraId="22EE4B05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9.2. Cena jednostki obmiarowej</w:t>
      </w:r>
    </w:p>
    <w:p w14:paraId="2AC0B90A" w14:textId="77777777" w:rsidR="00C71CA9" w:rsidRPr="00C71CA9" w:rsidRDefault="00C71CA9" w:rsidP="00C71CA9">
      <w:pPr>
        <w:jc w:val="both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ab/>
        <w:t xml:space="preserve">Zakres czynności objętych ceną jednostkową podano w OST: </w:t>
      </w:r>
    </w:p>
    <w:p w14:paraId="3E876D47" w14:textId="77777777" w:rsidR="00C71CA9" w:rsidRPr="00C71CA9" w:rsidRDefault="00C71CA9" w:rsidP="00C71CA9">
      <w:pPr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D-05.01.01 dla nawierzchni gruntowej naturalnej, pkt 9;</w:t>
      </w:r>
    </w:p>
    <w:p w14:paraId="6C7822EB" w14:textId="77777777" w:rsidR="00C71CA9" w:rsidRPr="00C71CA9" w:rsidRDefault="00C71CA9" w:rsidP="00C71CA9">
      <w:pPr>
        <w:pStyle w:val="Nagwek1"/>
        <w:rPr>
          <w:rFonts w:ascii="Aptos Display" w:hAnsi="Aptos Display" w:cs="Tahoma"/>
          <w:b w:val="0"/>
          <w:sz w:val="18"/>
          <w:szCs w:val="18"/>
        </w:rPr>
      </w:pPr>
      <w:bookmarkStart w:id="23" w:name="_Toc426175616"/>
      <w:r w:rsidRPr="00C71CA9">
        <w:rPr>
          <w:rFonts w:ascii="Aptos Display" w:hAnsi="Aptos Display" w:cs="Tahoma"/>
          <w:b w:val="0"/>
          <w:sz w:val="18"/>
          <w:szCs w:val="18"/>
        </w:rPr>
        <w:t>10. przepisy związane</w:t>
      </w:r>
      <w:bookmarkEnd w:id="23"/>
    </w:p>
    <w:p w14:paraId="57E08150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701"/>
        <w:gridCol w:w="5171"/>
      </w:tblGrid>
      <w:tr w:rsidR="00C71CA9" w:rsidRPr="00C71CA9" w14:paraId="655F5E0B" w14:textId="77777777" w:rsidTr="00270379">
        <w:tc>
          <w:tcPr>
            <w:tcW w:w="637" w:type="dxa"/>
          </w:tcPr>
          <w:p w14:paraId="5ACDC249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 1.</w:t>
            </w:r>
          </w:p>
        </w:tc>
        <w:tc>
          <w:tcPr>
            <w:tcW w:w="1701" w:type="dxa"/>
          </w:tcPr>
          <w:p w14:paraId="22A35DC3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PN-B-02480</w:t>
            </w:r>
          </w:p>
        </w:tc>
        <w:tc>
          <w:tcPr>
            <w:tcW w:w="5171" w:type="dxa"/>
          </w:tcPr>
          <w:p w14:paraId="7050C340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Grunty budowlane. Określenia, symbole, podział i opis gruntów</w:t>
            </w:r>
          </w:p>
        </w:tc>
      </w:tr>
      <w:tr w:rsidR="00C71CA9" w:rsidRPr="00C71CA9" w14:paraId="0595E998" w14:textId="77777777" w:rsidTr="00270379">
        <w:tc>
          <w:tcPr>
            <w:tcW w:w="637" w:type="dxa"/>
          </w:tcPr>
          <w:p w14:paraId="16A7A623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 2.</w:t>
            </w:r>
          </w:p>
        </w:tc>
        <w:tc>
          <w:tcPr>
            <w:tcW w:w="1701" w:type="dxa"/>
          </w:tcPr>
          <w:p w14:paraId="389D53E6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PN-B-04452</w:t>
            </w:r>
          </w:p>
        </w:tc>
        <w:tc>
          <w:tcPr>
            <w:tcW w:w="5171" w:type="dxa"/>
          </w:tcPr>
          <w:p w14:paraId="06A86777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Grunty budowlane. Badania polowe</w:t>
            </w:r>
          </w:p>
        </w:tc>
      </w:tr>
      <w:tr w:rsidR="00C71CA9" w:rsidRPr="00C71CA9" w14:paraId="4F1C85A7" w14:textId="77777777" w:rsidTr="00270379">
        <w:tc>
          <w:tcPr>
            <w:tcW w:w="637" w:type="dxa"/>
          </w:tcPr>
          <w:p w14:paraId="632F29E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 3.</w:t>
            </w:r>
          </w:p>
        </w:tc>
        <w:tc>
          <w:tcPr>
            <w:tcW w:w="1701" w:type="dxa"/>
          </w:tcPr>
          <w:p w14:paraId="2366AFC0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PN-B-04481</w:t>
            </w:r>
          </w:p>
        </w:tc>
        <w:tc>
          <w:tcPr>
            <w:tcW w:w="5171" w:type="dxa"/>
          </w:tcPr>
          <w:p w14:paraId="35711AC3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Grunty budowlane. Badania próbek gruntu</w:t>
            </w:r>
          </w:p>
        </w:tc>
      </w:tr>
      <w:tr w:rsidR="00C71CA9" w:rsidRPr="00C71CA9" w14:paraId="42E992A0" w14:textId="77777777" w:rsidTr="00270379">
        <w:tc>
          <w:tcPr>
            <w:tcW w:w="637" w:type="dxa"/>
          </w:tcPr>
          <w:p w14:paraId="14403734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 4.</w:t>
            </w:r>
          </w:p>
        </w:tc>
        <w:tc>
          <w:tcPr>
            <w:tcW w:w="1701" w:type="dxa"/>
          </w:tcPr>
          <w:p w14:paraId="7E929011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PN-B-04493</w:t>
            </w:r>
          </w:p>
        </w:tc>
        <w:tc>
          <w:tcPr>
            <w:tcW w:w="5171" w:type="dxa"/>
          </w:tcPr>
          <w:p w14:paraId="57ADD5A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Grunty budowlane. Oznaczenie kapilarności biernej</w:t>
            </w:r>
          </w:p>
        </w:tc>
      </w:tr>
      <w:tr w:rsidR="00C71CA9" w:rsidRPr="00C71CA9" w14:paraId="34C38899" w14:textId="77777777" w:rsidTr="00270379">
        <w:tc>
          <w:tcPr>
            <w:tcW w:w="637" w:type="dxa"/>
          </w:tcPr>
          <w:p w14:paraId="15AAD7BF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 5.</w:t>
            </w:r>
          </w:p>
        </w:tc>
        <w:tc>
          <w:tcPr>
            <w:tcW w:w="1701" w:type="dxa"/>
          </w:tcPr>
          <w:p w14:paraId="56238923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PN-B-06714-15</w:t>
            </w:r>
          </w:p>
        </w:tc>
        <w:tc>
          <w:tcPr>
            <w:tcW w:w="5171" w:type="dxa"/>
          </w:tcPr>
          <w:p w14:paraId="2C50D9E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Kruszywa mineralne. Badania. Oznaczanie składu ziarnowego</w:t>
            </w:r>
          </w:p>
        </w:tc>
      </w:tr>
      <w:tr w:rsidR="00C71CA9" w:rsidRPr="00C71CA9" w14:paraId="0FDE8B0E" w14:textId="77777777" w:rsidTr="00270379">
        <w:tc>
          <w:tcPr>
            <w:tcW w:w="637" w:type="dxa"/>
          </w:tcPr>
          <w:p w14:paraId="4C5C12B9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 6.</w:t>
            </w:r>
          </w:p>
        </w:tc>
        <w:tc>
          <w:tcPr>
            <w:tcW w:w="1701" w:type="dxa"/>
          </w:tcPr>
          <w:p w14:paraId="03472571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PN-B-06714-28</w:t>
            </w:r>
          </w:p>
        </w:tc>
        <w:tc>
          <w:tcPr>
            <w:tcW w:w="5171" w:type="dxa"/>
          </w:tcPr>
          <w:p w14:paraId="5B74188C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Kruszywa mineralne. Badania. Oznaczanie zawartości siarki metodą bromową</w:t>
            </w:r>
          </w:p>
        </w:tc>
      </w:tr>
      <w:tr w:rsidR="00C71CA9" w:rsidRPr="00C71CA9" w14:paraId="3A32DDF7" w14:textId="77777777" w:rsidTr="00270379">
        <w:tc>
          <w:tcPr>
            <w:tcW w:w="637" w:type="dxa"/>
          </w:tcPr>
          <w:p w14:paraId="67895A8C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 7.</w:t>
            </w:r>
          </w:p>
        </w:tc>
        <w:tc>
          <w:tcPr>
            <w:tcW w:w="1701" w:type="dxa"/>
          </w:tcPr>
          <w:p w14:paraId="1B638B1F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PN-B-06731</w:t>
            </w:r>
          </w:p>
        </w:tc>
        <w:tc>
          <w:tcPr>
            <w:tcW w:w="5171" w:type="dxa"/>
          </w:tcPr>
          <w:p w14:paraId="54DCEB11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Żużel wielkopiecowy kawałkowy. Kruszywo budowlane                 i drogowe. Badania techniczne</w:t>
            </w:r>
          </w:p>
        </w:tc>
      </w:tr>
      <w:tr w:rsidR="00C71CA9" w:rsidRPr="00C71CA9" w14:paraId="32C3E8D7" w14:textId="77777777" w:rsidTr="00270379">
        <w:tc>
          <w:tcPr>
            <w:tcW w:w="637" w:type="dxa"/>
          </w:tcPr>
          <w:p w14:paraId="4C7A310F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 8.</w:t>
            </w:r>
          </w:p>
        </w:tc>
        <w:tc>
          <w:tcPr>
            <w:tcW w:w="1701" w:type="dxa"/>
          </w:tcPr>
          <w:p w14:paraId="06B8EE9C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PN-B-19701</w:t>
            </w:r>
          </w:p>
        </w:tc>
        <w:tc>
          <w:tcPr>
            <w:tcW w:w="5171" w:type="dxa"/>
          </w:tcPr>
          <w:p w14:paraId="7FA6883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Cement powszechnego użytku. Skład, wymagania i ocena zgodności</w:t>
            </w:r>
          </w:p>
        </w:tc>
      </w:tr>
      <w:tr w:rsidR="00C71CA9" w:rsidRPr="00C71CA9" w14:paraId="096EF69F" w14:textId="77777777" w:rsidTr="00270379">
        <w:tc>
          <w:tcPr>
            <w:tcW w:w="637" w:type="dxa"/>
          </w:tcPr>
          <w:p w14:paraId="20C8518E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 9.</w:t>
            </w:r>
          </w:p>
        </w:tc>
        <w:tc>
          <w:tcPr>
            <w:tcW w:w="1701" w:type="dxa"/>
          </w:tcPr>
          <w:p w14:paraId="3FED791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PN-B-30020</w:t>
            </w:r>
          </w:p>
        </w:tc>
        <w:tc>
          <w:tcPr>
            <w:tcW w:w="5171" w:type="dxa"/>
          </w:tcPr>
          <w:p w14:paraId="144A8221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Wapno</w:t>
            </w:r>
          </w:p>
        </w:tc>
      </w:tr>
      <w:tr w:rsidR="00C71CA9" w:rsidRPr="00C71CA9" w14:paraId="4245A056" w14:textId="77777777" w:rsidTr="00270379">
        <w:tc>
          <w:tcPr>
            <w:tcW w:w="637" w:type="dxa"/>
          </w:tcPr>
          <w:p w14:paraId="00F7E1F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10.</w:t>
            </w:r>
          </w:p>
        </w:tc>
        <w:tc>
          <w:tcPr>
            <w:tcW w:w="1701" w:type="dxa"/>
          </w:tcPr>
          <w:p w14:paraId="40A3AC86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PN-B-32250</w:t>
            </w:r>
          </w:p>
        </w:tc>
        <w:tc>
          <w:tcPr>
            <w:tcW w:w="5171" w:type="dxa"/>
          </w:tcPr>
          <w:p w14:paraId="621E5F94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Materiały budowlane. Woda do betonów i zapraw</w:t>
            </w:r>
          </w:p>
        </w:tc>
      </w:tr>
      <w:tr w:rsidR="00C71CA9" w:rsidRPr="00C71CA9" w14:paraId="60F2CD3F" w14:textId="77777777" w:rsidTr="00270379">
        <w:tc>
          <w:tcPr>
            <w:tcW w:w="637" w:type="dxa"/>
          </w:tcPr>
          <w:p w14:paraId="0424C87B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11.</w:t>
            </w:r>
          </w:p>
        </w:tc>
        <w:tc>
          <w:tcPr>
            <w:tcW w:w="1701" w:type="dxa"/>
          </w:tcPr>
          <w:p w14:paraId="122BC3DE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PN-S-96011</w:t>
            </w:r>
          </w:p>
        </w:tc>
        <w:tc>
          <w:tcPr>
            <w:tcW w:w="5171" w:type="dxa"/>
          </w:tcPr>
          <w:p w14:paraId="3405E36E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Drogi samochodowe. Podbudowa z gruntu ulepszonego wapnem</w:t>
            </w:r>
          </w:p>
        </w:tc>
      </w:tr>
      <w:tr w:rsidR="00C71CA9" w:rsidRPr="00C71CA9" w14:paraId="56D90946" w14:textId="77777777" w:rsidTr="00270379">
        <w:tc>
          <w:tcPr>
            <w:tcW w:w="637" w:type="dxa"/>
          </w:tcPr>
          <w:p w14:paraId="5DB8E55E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12.</w:t>
            </w:r>
          </w:p>
        </w:tc>
        <w:tc>
          <w:tcPr>
            <w:tcW w:w="1701" w:type="dxa"/>
          </w:tcPr>
          <w:p w14:paraId="19442E2D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PN-S-96035</w:t>
            </w:r>
          </w:p>
        </w:tc>
        <w:tc>
          <w:tcPr>
            <w:tcW w:w="5171" w:type="dxa"/>
          </w:tcPr>
          <w:p w14:paraId="67AC44D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Drogi samochodowe. Popioły lotne</w:t>
            </w:r>
          </w:p>
        </w:tc>
      </w:tr>
      <w:tr w:rsidR="00C71CA9" w:rsidRPr="00C71CA9" w14:paraId="5BFCEC23" w14:textId="77777777" w:rsidTr="00270379">
        <w:tc>
          <w:tcPr>
            <w:tcW w:w="637" w:type="dxa"/>
          </w:tcPr>
          <w:p w14:paraId="5F45AC3A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13.</w:t>
            </w:r>
          </w:p>
        </w:tc>
        <w:tc>
          <w:tcPr>
            <w:tcW w:w="1701" w:type="dxa"/>
          </w:tcPr>
          <w:p w14:paraId="0EED193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BN-64/8931-01</w:t>
            </w:r>
          </w:p>
        </w:tc>
        <w:tc>
          <w:tcPr>
            <w:tcW w:w="5171" w:type="dxa"/>
          </w:tcPr>
          <w:p w14:paraId="38EC4AC3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Drogi samochodowe. Oznaczanie wskaźnika piaskowego</w:t>
            </w:r>
          </w:p>
        </w:tc>
      </w:tr>
      <w:tr w:rsidR="00C71CA9" w:rsidRPr="00C71CA9" w14:paraId="496A2AB0" w14:textId="77777777" w:rsidTr="00270379">
        <w:tc>
          <w:tcPr>
            <w:tcW w:w="637" w:type="dxa"/>
          </w:tcPr>
          <w:p w14:paraId="10FBD7A1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14.</w:t>
            </w:r>
          </w:p>
        </w:tc>
        <w:tc>
          <w:tcPr>
            <w:tcW w:w="1701" w:type="dxa"/>
          </w:tcPr>
          <w:p w14:paraId="288BF7F5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BN-64/8931-02</w:t>
            </w:r>
          </w:p>
        </w:tc>
        <w:tc>
          <w:tcPr>
            <w:tcW w:w="5171" w:type="dxa"/>
          </w:tcPr>
          <w:p w14:paraId="1CB43BE3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Drogi samochodowe. Oznaczanie modułu odkształcenia nawierzchni podatnych i podłoża przez obciążenie płytą</w:t>
            </w:r>
          </w:p>
        </w:tc>
      </w:tr>
      <w:tr w:rsidR="00C71CA9" w:rsidRPr="00C71CA9" w14:paraId="7FB320E6" w14:textId="77777777" w:rsidTr="00270379">
        <w:tc>
          <w:tcPr>
            <w:tcW w:w="637" w:type="dxa"/>
          </w:tcPr>
          <w:p w14:paraId="08F476C3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15.</w:t>
            </w:r>
          </w:p>
        </w:tc>
        <w:tc>
          <w:tcPr>
            <w:tcW w:w="1701" w:type="dxa"/>
          </w:tcPr>
          <w:p w14:paraId="257CBBA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BN-75/8931-03</w:t>
            </w:r>
          </w:p>
        </w:tc>
        <w:tc>
          <w:tcPr>
            <w:tcW w:w="5171" w:type="dxa"/>
          </w:tcPr>
          <w:p w14:paraId="3D36F07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Pobieranie próbek gruntów do celów drogowych i lotniskowych</w:t>
            </w:r>
          </w:p>
        </w:tc>
      </w:tr>
      <w:tr w:rsidR="00C71CA9" w:rsidRPr="00C71CA9" w14:paraId="25967BE2" w14:textId="77777777" w:rsidTr="00270379">
        <w:tc>
          <w:tcPr>
            <w:tcW w:w="637" w:type="dxa"/>
          </w:tcPr>
          <w:p w14:paraId="16020F71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16.</w:t>
            </w:r>
          </w:p>
        </w:tc>
        <w:tc>
          <w:tcPr>
            <w:tcW w:w="1701" w:type="dxa"/>
          </w:tcPr>
          <w:p w14:paraId="68172D80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BN-68/8931-04</w:t>
            </w:r>
          </w:p>
        </w:tc>
        <w:tc>
          <w:tcPr>
            <w:tcW w:w="5171" w:type="dxa"/>
          </w:tcPr>
          <w:p w14:paraId="5C398454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Drogi samochodowe. Pomiar równości nawierzchni </w:t>
            </w:r>
            <w:proofErr w:type="spellStart"/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planografem</w:t>
            </w:r>
            <w:proofErr w:type="spellEnd"/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 xml:space="preserve"> i łatą</w:t>
            </w:r>
          </w:p>
        </w:tc>
      </w:tr>
      <w:tr w:rsidR="00C71CA9" w:rsidRPr="00C71CA9" w14:paraId="34A503DB" w14:textId="77777777" w:rsidTr="00270379">
        <w:tc>
          <w:tcPr>
            <w:tcW w:w="637" w:type="dxa"/>
          </w:tcPr>
          <w:p w14:paraId="191B6020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17.</w:t>
            </w:r>
          </w:p>
        </w:tc>
        <w:tc>
          <w:tcPr>
            <w:tcW w:w="1701" w:type="dxa"/>
          </w:tcPr>
          <w:p w14:paraId="4A4368FE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BN-70/8931-05</w:t>
            </w:r>
          </w:p>
        </w:tc>
        <w:tc>
          <w:tcPr>
            <w:tcW w:w="5171" w:type="dxa"/>
          </w:tcPr>
          <w:p w14:paraId="171FA90D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Drogi samochodowe. Oznaczanie wskaźnika nośności gruntu jako podłoża nawierzchni podatnych</w:t>
            </w:r>
          </w:p>
        </w:tc>
      </w:tr>
      <w:tr w:rsidR="00C71CA9" w:rsidRPr="00C71CA9" w14:paraId="40E1862C" w14:textId="77777777" w:rsidTr="00270379">
        <w:tc>
          <w:tcPr>
            <w:tcW w:w="637" w:type="dxa"/>
          </w:tcPr>
          <w:p w14:paraId="3991C1E0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18.</w:t>
            </w:r>
          </w:p>
        </w:tc>
        <w:tc>
          <w:tcPr>
            <w:tcW w:w="1701" w:type="dxa"/>
          </w:tcPr>
          <w:p w14:paraId="27C775A2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BN-77/8931-12</w:t>
            </w:r>
          </w:p>
        </w:tc>
        <w:tc>
          <w:tcPr>
            <w:tcW w:w="5171" w:type="dxa"/>
          </w:tcPr>
          <w:p w14:paraId="29F897BA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Oznaczanie wskaźnika zagęszczenia gruntu</w:t>
            </w:r>
          </w:p>
        </w:tc>
      </w:tr>
      <w:tr w:rsidR="00C71CA9" w:rsidRPr="00C71CA9" w14:paraId="0974DF51" w14:textId="77777777" w:rsidTr="00270379">
        <w:tc>
          <w:tcPr>
            <w:tcW w:w="637" w:type="dxa"/>
          </w:tcPr>
          <w:p w14:paraId="26E52A64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19.</w:t>
            </w:r>
          </w:p>
        </w:tc>
        <w:tc>
          <w:tcPr>
            <w:tcW w:w="1701" w:type="dxa"/>
          </w:tcPr>
          <w:p w14:paraId="40980117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BN-71/8933-10</w:t>
            </w:r>
          </w:p>
        </w:tc>
        <w:tc>
          <w:tcPr>
            <w:tcW w:w="5171" w:type="dxa"/>
          </w:tcPr>
          <w:p w14:paraId="226EA321" w14:textId="77777777" w:rsidR="00C71CA9" w:rsidRPr="00C71CA9" w:rsidRDefault="00C71CA9" w:rsidP="00270379">
            <w:pPr>
              <w:rPr>
                <w:rFonts w:ascii="Aptos Display" w:hAnsi="Aptos Display" w:cs="Tahoma"/>
                <w:bCs/>
                <w:sz w:val="18"/>
                <w:szCs w:val="18"/>
              </w:rPr>
            </w:pPr>
            <w:r w:rsidRPr="00C71CA9">
              <w:rPr>
                <w:rFonts w:ascii="Aptos Display" w:hAnsi="Aptos Display" w:cs="Tahoma"/>
                <w:bCs/>
                <w:sz w:val="18"/>
                <w:szCs w:val="18"/>
              </w:rPr>
              <w:t>Drogi samochodowe. Podbudowa z gruntów stabilizowanych aktywnymi popiołami lotnymi</w:t>
            </w:r>
          </w:p>
        </w:tc>
      </w:tr>
    </w:tbl>
    <w:p w14:paraId="63A7CDFC" w14:textId="77777777" w:rsidR="00C71CA9" w:rsidRPr="00C71CA9" w:rsidRDefault="00C71CA9" w:rsidP="00C71CA9">
      <w:pPr>
        <w:pStyle w:val="Nagwek2"/>
        <w:rPr>
          <w:rFonts w:ascii="Aptos Display" w:hAnsi="Aptos Display" w:cs="Tahoma"/>
          <w:b w:val="0"/>
          <w:sz w:val="18"/>
          <w:szCs w:val="18"/>
        </w:rPr>
      </w:pPr>
      <w:r w:rsidRPr="00C71CA9">
        <w:rPr>
          <w:rFonts w:ascii="Aptos Display" w:hAnsi="Aptos Display" w:cs="Tahoma"/>
          <w:b w:val="0"/>
          <w:sz w:val="18"/>
          <w:szCs w:val="18"/>
        </w:rPr>
        <w:t>10.2. Inne materiały</w:t>
      </w:r>
    </w:p>
    <w:p w14:paraId="37963927" w14:textId="77777777" w:rsidR="00C71CA9" w:rsidRPr="00C71CA9" w:rsidRDefault="00C71CA9" w:rsidP="00C71CA9">
      <w:pPr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J. Jaworski. Drogi gruntowe. Część I. Projektowanie. Studia i materiały. Zeszyt nr 8, IBDiM, Warszawa, 1977.</w:t>
      </w:r>
    </w:p>
    <w:p w14:paraId="191B69A2" w14:textId="77777777" w:rsidR="00C71CA9" w:rsidRPr="00C71CA9" w:rsidRDefault="00C71CA9" w:rsidP="00C71CA9">
      <w:pPr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ptos Display" w:hAnsi="Aptos Display" w:cs="Tahoma"/>
          <w:bCs/>
          <w:sz w:val="18"/>
          <w:szCs w:val="18"/>
        </w:rPr>
      </w:pPr>
      <w:r w:rsidRPr="00C71CA9">
        <w:rPr>
          <w:rFonts w:ascii="Aptos Display" w:hAnsi="Aptos Display" w:cs="Tahoma"/>
          <w:bCs/>
          <w:sz w:val="18"/>
          <w:szCs w:val="18"/>
        </w:rPr>
        <w:t>J. Jaworski. Drogi gruntowe. Część II. Budowa nawierzchni, dróg i placów. Studia i materiały. Zeszyt nr 10, IBDiM, Warszawa 1978.</w:t>
      </w:r>
    </w:p>
    <w:p w14:paraId="511849EB" w14:textId="4A891901" w:rsidR="00C97A03" w:rsidRDefault="00C97A03" w:rsidP="00E04FCC">
      <w:pPr>
        <w:pStyle w:val="Standard"/>
        <w:tabs>
          <w:tab w:val="left" w:pos="567"/>
          <w:tab w:val="right" w:leader="dot" w:pos="7937"/>
        </w:tabs>
        <w:jc w:val="both"/>
      </w:pPr>
    </w:p>
    <w:sectPr w:rsidR="00C97A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0900922"/>
    <w:lvl w:ilvl="0">
      <w:numFmt w:val="decimal"/>
      <w:lvlText w:val="*"/>
      <w:lvlJc w:val="left"/>
    </w:lvl>
  </w:abstractNum>
  <w:abstractNum w:abstractNumId="1" w15:restartNumberingAfterBreak="0">
    <w:nsid w:val="04BB3443"/>
    <w:multiLevelType w:val="multilevel"/>
    <w:tmpl w:val="5B88C7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312F5D"/>
    <w:multiLevelType w:val="multilevel"/>
    <w:tmpl w:val="37729E16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3" w15:restartNumberingAfterBreak="0">
    <w:nsid w:val="0D6915E1"/>
    <w:multiLevelType w:val="multilevel"/>
    <w:tmpl w:val="825C8C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" w15:restartNumberingAfterBreak="0">
    <w:nsid w:val="20977417"/>
    <w:multiLevelType w:val="multilevel"/>
    <w:tmpl w:val="F00EE2C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20B74451"/>
    <w:multiLevelType w:val="multilevel"/>
    <w:tmpl w:val="F95014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" w15:restartNumberingAfterBreak="0">
    <w:nsid w:val="264D00EC"/>
    <w:multiLevelType w:val="multilevel"/>
    <w:tmpl w:val="91F6F752"/>
    <w:lvl w:ilvl="0">
      <w:numFmt w:val="bullet"/>
      <w:suff w:val="nothing"/>
      <w:lvlText w:val="•"/>
      <w:lvlJc w:val="left"/>
      <w:pPr>
        <w:ind w:left="644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 w:hint="default"/>
      </w:rPr>
    </w:lvl>
  </w:abstractNum>
  <w:abstractNum w:abstractNumId="7" w15:restartNumberingAfterBreak="0">
    <w:nsid w:val="28C536BF"/>
    <w:multiLevelType w:val="multilevel"/>
    <w:tmpl w:val="F0E4170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28ED4261"/>
    <w:multiLevelType w:val="multilevel"/>
    <w:tmpl w:val="9CD05D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D497D7A"/>
    <w:multiLevelType w:val="multilevel"/>
    <w:tmpl w:val="657EF2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0" w15:restartNumberingAfterBreak="0">
    <w:nsid w:val="32227771"/>
    <w:multiLevelType w:val="multilevel"/>
    <w:tmpl w:val="E65A9B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3269213D"/>
    <w:multiLevelType w:val="multilevel"/>
    <w:tmpl w:val="B5FE4B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48A2344B"/>
    <w:multiLevelType w:val="multilevel"/>
    <w:tmpl w:val="C28C2D3A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4E282C9A"/>
    <w:multiLevelType w:val="multilevel"/>
    <w:tmpl w:val="90B4BA8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4E7051FA"/>
    <w:multiLevelType w:val="multilevel"/>
    <w:tmpl w:val="3FB45204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EB94472"/>
    <w:multiLevelType w:val="multilevel"/>
    <w:tmpl w:val="4510F814"/>
    <w:lvl w:ilvl="0">
      <w:numFmt w:val="bullet"/>
      <w:suff w:val="space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6" w15:restartNumberingAfterBreak="0">
    <w:nsid w:val="52026491"/>
    <w:multiLevelType w:val="multilevel"/>
    <w:tmpl w:val="AA202EE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52571359"/>
    <w:multiLevelType w:val="singleLevel"/>
    <w:tmpl w:val="DB26BF22"/>
    <w:lvl w:ilvl="0">
      <w:start w:val="20"/>
      <w:numFmt w:val="decimal"/>
      <w:lvlText w:val="%1."/>
      <w:legacy w:legacy="1" w:legacySpace="0" w:legacyIndent="369"/>
      <w:lvlJc w:val="right"/>
      <w:pPr>
        <w:ind w:left="369" w:hanging="369"/>
      </w:pPr>
    </w:lvl>
  </w:abstractNum>
  <w:abstractNum w:abstractNumId="18" w15:restartNumberingAfterBreak="0">
    <w:nsid w:val="530524A2"/>
    <w:multiLevelType w:val="multilevel"/>
    <w:tmpl w:val="0958D8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566766C1"/>
    <w:multiLevelType w:val="multilevel"/>
    <w:tmpl w:val="A7D064C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617D523C"/>
    <w:multiLevelType w:val="multilevel"/>
    <w:tmpl w:val="38B263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63212790"/>
    <w:multiLevelType w:val="multilevel"/>
    <w:tmpl w:val="F200A8E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65B776EC"/>
    <w:multiLevelType w:val="multilevel"/>
    <w:tmpl w:val="F57C542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68CA634B"/>
    <w:multiLevelType w:val="multilevel"/>
    <w:tmpl w:val="5DA2A60E"/>
    <w:lvl w:ilvl="0">
      <w:numFmt w:val="bullet"/>
      <w:suff w:val="nothing"/>
      <w:lvlText w:val="•"/>
      <w:lvlJc w:val="left"/>
      <w:pPr>
        <w:ind w:left="1083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3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3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3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3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3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3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3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3" w:hanging="360"/>
      </w:pPr>
      <w:rPr>
        <w:rFonts w:ascii="OpenSymbol" w:eastAsia="OpenSymbol" w:hAnsi="OpenSymbol" w:cs="OpenSymbol" w:hint="default"/>
      </w:rPr>
    </w:lvl>
  </w:abstractNum>
  <w:abstractNum w:abstractNumId="24" w15:restartNumberingAfterBreak="0">
    <w:nsid w:val="77A302B3"/>
    <w:multiLevelType w:val="multilevel"/>
    <w:tmpl w:val="876E048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78AF31DC"/>
    <w:multiLevelType w:val="multilevel"/>
    <w:tmpl w:val="EED4D25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6" w15:restartNumberingAfterBreak="0">
    <w:nsid w:val="7C1A5255"/>
    <w:multiLevelType w:val="multilevel"/>
    <w:tmpl w:val="30FCB8C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num w:numId="1" w16cid:durableId="1440183058">
    <w:abstractNumId w:val="21"/>
  </w:num>
  <w:num w:numId="2" w16cid:durableId="1090927194">
    <w:abstractNumId w:val="6"/>
  </w:num>
  <w:num w:numId="3" w16cid:durableId="12000512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206597819">
    <w:abstractNumId w:val="18"/>
  </w:num>
  <w:num w:numId="5" w16cid:durableId="695620920">
    <w:abstractNumId w:val="7"/>
  </w:num>
  <w:num w:numId="6" w16cid:durableId="571697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7" w16cid:durableId="983236745">
    <w:abstractNumId w:val="11"/>
  </w:num>
  <w:num w:numId="8" w16cid:durableId="678235787">
    <w:abstractNumId w:val="25"/>
  </w:num>
  <w:num w:numId="9" w16cid:durableId="543182273">
    <w:abstractNumId w:val="10"/>
  </w:num>
  <w:num w:numId="10" w16cid:durableId="815300288">
    <w:abstractNumId w:val="4"/>
  </w:num>
  <w:num w:numId="11" w16cid:durableId="1879464172">
    <w:abstractNumId w:val="22"/>
  </w:num>
  <w:num w:numId="12" w16cid:durableId="256448409">
    <w:abstractNumId w:val="12"/>
  </w:num>
  <w:num w:numId="13" w16cid:durableId="2099712370">
    <w:abstractNumId w:val="16"/>
  </w:num>
  <w:num w:numId="14" w16cid:durableId="2076859055">
    <w:abstractNumId w:val="8"/>
  </w:num>
  <w:num w:numId="15" w16cid:durableId="964165752">
    <w:abstractNumId w:val="19"/>
  </w:num>
  <w:num w:numId="16" w16cid:durableId="496503191">
    <w:abstractNumId w:val="24"/>
  </w:num>
  <w:num w:numId="17" w16cid:durableId="628512319">
    <w:abstractNumId w:val="3"/>
  </w:num>
  <w:num w:numId="18" w16cid:durableId="1775595661">
    <w:abstractNumId w:val="13"/>
  </w:num>
  <w:num w:numId="19" w16cid:durableId="514543739">
    <w:abstractNumId w:val="15"/>
  </w:num>
  <w:num w:numId="20" w16cid:durableId="527909604">
    <w:abstractNumId w:val="5"/>
  </w:num>
  <w:num w:numId="21" w16cid:durableId="1751269680">
    <w:abstractNumId w:val="26"/>
  </w:num>
  <w:num w:numId="22" w16cid:durableId="136341916">
    <w:abstractNumId w:val="14"/>
  </w:num>
  <w:num w:numId="23" w16cid:durableId="1382175639">
    <w:abstractNumId w:val="23"/>
  </w:num>
  <w:num w:numId="24" w16cid:durableId="44571865">
    <w:abstractNumId w:val="9"/>
  </w:num>
  <w:num w:numId="25" w16cid:durableId="1848204863">
    <w:abstractNumId w:val="2"/>
  </w:num>
  <w:num w:numId="26" w16cid:durableId="1620183615">
    <w:abstractNumId w:val="20"/>
    <w:lvlOverride w:ilvl="0">
      <w:lvl w:ilvl="0">
        <w:numFmt w:val="bullet"/>
        <w:suff w:val="nothing"/>
        <w:lvlText w:val="•"/>
        <w:lvlJc w:val="left"/>
        <w:pPr>
          <w:ind w:left="1077" w:hanging="357"/>
        </w:pPr>
        <w:rPr>
          <w:rFonts w:ascii="OpenSymbol" w:hAnsi="OpenSymbol" w:hint="default"/>
        </w:rPr>
      </w:lvl>
    </w:lvlOverride>
    <w:lvlOverride w:ilvl="1">
      <w:lvl w:ilvl="1">
        <w:numFmt w:val="bullet"/>
        <w:lvlText w:val="◦"/>
        <w:lvlJc w:val="left"/>
        <w:pPr>
          <w:ind w:left="1434" w:hanging="357"/>
        </w:pPr>
        <w:rPr>
          <w:rFonts w:ascii="OpenSymbol" w:eastAsia="OpenSymbol" w:hAnsi="OpenSymbol" w:cs="OpenSymbol" w:hint="default"/>
        </w:rPr>
      </w:lvl>
    </w:lvlOverride>
    <w:lvlOverride w:ilvl="2">
      <w:lvl w:ilvl="2">
        <w:numFmt w:val="bullet"/>
        <w:lvlText w:val="▪"/>
        <w:lvlJc w:val="left"/>
        <w:pPr>
          <w:ind w:left="1791" w:hanging="357"/>
        </w:pPr>
        <w:rPr>
          <w:rFonts w:ascii="OpenSymbol" w:eastAsia="OpenSymbol" w:hAnsi="OpenSymbol" w:cs="OpenSymbol" w:hint="default"/>
        </w:rPr>
      </w:lvl>
    </w:lvlOverride>
    <w:lvlOverride w:ilvl="3">
      <w:lvl w:ilvl="3">
        <w:numFmt w:val="bullet"/>
        <w:lvlText w:val="•"/>
        <w:lvlJc w:val="left"/>
        <w:pPr>
          <w:ind w:left="2148" w:hanging="357"/>
        </w:pPr>
        <w:rPr>
          <w:rFonts w:ascii="OpenSymbol" w:eastAsia="OpenSymbol" w:hAnsi="OpenSymbol" w:cs="OpenSymbol" w:hint="default"/>
        </w:rPr>
      </w:lvl>
    </w:lvlOverride>
    <w:lvlOverride w:ilvl="4">
      <w:lvl w:ilvl="4">
        <w:numFmt w:val="bullet"/>
        <w:lvlText w:val="◦"/>
        <w:lvlJc w:val="left"/>
        <w:pPr>
          <w:ind w:left="2505" w:hanging="357"/>
        </w:pPr>
        <w:rPr>
          <w:rFonts w:ascii="OpenSymbol" w:eastAsia="OpenSymbol" w:hAnsi="OpenSymbol" w:cs="OpenSymbol" w:hint="default"/>
        </w:rPr>
      </w:lvl>
    </w:lvlOverride>
    <w:lvlOverride w:ilvl="5">
      <w:lvl w:ilvl="5">
        <w:numFmt w:val="bullet"/>
        <w:lvlText w:val="▪"/>
        <w:lvlJc w:val="left"/>
        <w:pPr>
          <w:ind w:left="2862" w:hanging="357"/>
        </w:pPr>
        <w:rPr>
          <w:rFonts w:ascii="OpenSymbol" w:eastAsia="OpenSymbol" w:hAnsi="OpenSymbol" w:cs="OpenSymbol" w:hint="default"/>
        </w:rPr>
      </w:lvl>
    </w:lvlOverride>
    <w:lvlOverride w:ilvl="6">
      <w:lvl w:ilvl="6">
        <w:numFmt w:val="bullet"/>
        <w:lvlText w:val="•"/>
        <w:lvlJc w:val="left"/>
        <w:pPr>
          <w:ind w:left="3219" w:hanging="357"/>
        </w:pPr>
        <w:rPr>
          <w:rFonts w:ascii="OpenSymbol" w:eastAsia="OpenSymbol" w:hAnsi="OpenSymbol" w:cs="OpenSymbol" w:hint="default"/>
        </w:rPr>
      </w:lvl>
    </w:lvlOverride>
    <w:lvlOverride w:ilvl="7">
      <w:lvl w:ilvl="7">
        <w:numFmt w:val="bullet"/>
        <w:lvlText w:val="◦"/>
        <w:lvlJc w:val="left"/>
        <w:pPr>
          <w:ind w:left="3576" w:hanging="357"/>
        </w:pPr>
        <w:rPr>
          <w:rFonts w:ascii="OpenSymbol" w:eastAsia="OpenSymbol" w:hAnsi="OpenSymbol" w:cs="OpenSymbol" w:hint="default"/>
        </w:rPr>
      </w:lvl>
    </w:lvlOverride>
    <w:lvlOverride w:ilvl="8">
      <w:lvl w:ilvl="8">
        <w:numFmt w:val="bullet"/>
        <w:lvlText w:val="▪"/>
        <w:lvlJc w:val="left"/>
        <w:pPr>
          <w:ind w:left="3933" w:hanging="357"/>
        </w:pPr>
        <w:rPr>
          <w:rFonts w:ascii="OpenSymbol" w:eastAsia="OpenSymbol" w:hAnsi="OpenSymbol" w:cs="OpenSymbol" w:hint="default"/>
        </w:rPr>
      </w:lvl>
    </w:lvlOverride>
  </w:num>
  <w:num w:numId="27" w16cid:durableId="103638914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8" w16cid:durableId="1212693323">
    <w:abstractNumId w:val="17"/>
  </w:num>
  <w:num w:numId="29" w16cid:durableId="2014649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03"/>
    <w:rsid w:val="005D5B52"/>
    <w:rsid w:val="007F1B07"/>
    <w:rsid w:val="009C4F33"/>
    <w:rsid w:val="009F6BB8"/>
    <w:rsid w:val="00C71CA9"/>
    <w:rsid w:val="00C97A03"/>
    <w:rsid w:val="00E0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96727A"/>
  <w15:chartTrackingRefBased/>
  <w15:docId w15:val="{1EC811EA-921B-4DEA-A43C-9B7839A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C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71CA9"/>
    <w:pPr>
      <w:keepNext/>
      <w:spacing w:before="120" w:after="120"/>
      <w:jc w:val="both"/>
      <w:outlineLvl w:val="0"/>
    </w:pPr>
    <w:rPr>
      <w:b/>
      <w:bCs/>
      <w:smallCaps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C71CA9"/>
    <w:pPr>
      <w:keepNext/>
      <w:outlineLvl w:val="1"/>
    </w:pPr>
    <w:rPr>
      <w:b/>
      <w:bCs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7A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C71CA9"/>
    <w:rPr>
      <w:rFonts w:ascii="Times New Roman" w:eastAsia="Times New Roman" w:hAnsi="Times New Roman" w:cs="Times New Roman"/>
      <w:b/>
      <w:bCs/>
      <w:smallCaps/>
      <w:kern w:val="0"/>
      <w:sz w:val="32"/>
      <w:szCs w:val="24"/>
      <w:lang w:eastAsia="pl-PL"/>
      <w14:ligatures w14:val="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C71CA9"/>
    <w:rPr>
      <w:rFonts w:ascii="Times New Roman" w:eastAsia="Times New Roman" w:hAnsi="Times New Roman" w:cs="Times New Roman"/>
      <w:b/>
      <w:bCs/>
      <w:i/>
      <w:kern w:val="0"/>
      <w:sz w:val="26"/>
      <w:szCs w:val="24"/>
      <w:lang w:eastAsia="pl-PL"/>
      <w14:ligatures w14:val="none"/>
    </w:rPr>
  </w:style>
  <w:style w:type="paragraph" w:customStyle="1" w:styleId="Standardowytekst">
    <w:name w:val="Standardowy.tekst"/>
    <w:rsid w:val="00C71C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1304</Words>
  <Characters>7824</Characters>
  <Application>Microsoft Office Word</Application>
  <DocSecurity>0</DocSecurity>
  <Lines>65</Lines>
  <Paragraphs>18</Paragraphs>
  <ScaleCrop>false</ScaleCrop>
  <Company/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3</cp:revision>
  <dcterms:created xsi:type="dcterms:W3CDTF">2024-12-21T08:34:00Z</dcterms:created>
  <dcterms:modified xsi:type="dcterms:W3CDTF">2025-05-15T10:10:00Z</dcterms:modified>
</cp:coreProperties>
</file>